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D3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</w:t>
      </w:r>
    </w:p>
    <w:p w14:paraId="78817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</w:p>
    <w:p w14:paraId="40FEC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关于《山东省文物保护条例</w:t>
      </w:r>
    </w:p>
    <w:p w14:paraId="2D715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（修订草案征求意见稿）》的起草说明</w:t>
      </w:r>
    </w:p>
    <w:p w14:paraId="1B732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</w:p>
    <w:p w14:paraId="0F8570A5">
      <w:pPr>
        <w:spacing w:line="560" w:lineRule="atLeast"/>
        <w:ind w:firstLine="640"/>
        <w:jc w:val="left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修改的必要性</w:t>
      </w:r>
    </w:p>
    <w:p w14:paraId="27DEBD1B"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党的十八大以来，以习近平同志为核心的党中央高度重视文物工作，党的二十大强调要加大文物和文化遗产保护力度。习近平总书记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 w:bidi="ar"/>
        </w:rPr>
        <w:t>文物工作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多次发表重要论述、作出重要指示批示，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为做好新时代文物保护工作提供了根本遵循。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"/>
        </w:rPr>
        <w:t>2025年3月1日，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新修订的《中华人民共和国文物保护法》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"/>
        </w:rPr>
        <w:t>正式实施，作出一系列新规定，标志着文物保护事业进入善法良治的新阶段。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近年来，我省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强化文物法治建设，出台或者修改了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《山东省文物保护条例》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等地方性法规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"/>
        </w:rPr>
        <w:t>对加强文物管理利用、规范考古活动、强化文物安全、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服务经济社会发展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"/>
        </w:rPr>
        <w:t>等发挥了重要作用，有力促进了文物事业高质量发展，山东文物工作总体走在全国前列。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但是，与新时代新要求相比，与人民群众对文物保护利用的需求期盼相比，我省文物保护工作还面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临文物保护管理制度不完善、文物保护与开发利用的关系不协调、社会力量参与文物保护机制不健全等问题。面对新形势新要求，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有必要在总结我省实践经验的基础上，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《山东省文物保护条例》进行全面修订，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细化落实上位法相关规定，突出山东特色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增强可操作性和可执行性，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为推动文物事业高质量发展提供坚实法治保障。</w:t>
      </w:r>
    </w:p>
    <w:p w14:paraId="5446E71B">
      <w:pPr>
        <w:numPr>
          <w:ilvl w:val="0"/>
          <w:numId w:val="1"/>
        </w:numPr>
        <w:spacing w:line="560" w:lineRule="atLeast"/>
        <w:ind w:firstLine="640"/>
        <w:jc w:val="left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起草过程</w:t>
      </w:r>
    </w:p>
    <w:p w14:paraId="3EE17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《山东省文物保护条例（修订）》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被列入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山东省人大常委会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2025年立法工作计划，省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文化和旅游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厅成立了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起草小组，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收集整理资料，制定工作计划，明确各阶段工作任务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深入学习贯彻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习近平总书记关于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文物保护工作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的重要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论述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精神，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贯彻落实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新修订的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文物保护法和国家近年来出台的关于文物保护利用改革的政策要求，坚持问题导向，深入基层调研，总结实践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认真听取意见建议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初稿。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省司法厅提前介入起草工作，会同省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文旅厅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多次对初稿进行修改完善后，征求了省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部门和16市文化和旅游局的意见建议。在此基础上，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经进一步研究论证，形成了《山东省文物保护条例（修订草案征求意见稿）》（以下简称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《条例（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修订草案征求意见稿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5EED5F3C">
      <w:pPr>
        <w:spacing w:line="560" w:lineRule="atLeast"/>
        <w:ind w:firstLine="640"/>
        <w:jc w:val="left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三、主要内容</w:t>
      </w:r>
    </w:p>
    <w:p w14:paraId="31829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《条例（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修订草案征求意见稿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共71条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内容：</w:t>
      </w:r>
    </w:p>
    <w:p w14:paraId="5695C0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明确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工作要求和职责分工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明晰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县级以上人民政府、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部门及其他相关部门的职责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，规定任何单位和个人都有保护文物的义务；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明确贯彻落实保护第一、加强管理、挖掘价值、有效利用、让文物活起来的工作要求，并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立法目的、工作要求、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宣传教育、表彰奖励等作出规定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76A20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加强对不可移动文物的保护。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完善不可移动文物保护管理体系，明确文物保护单位的核定公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布、未定级不可移动文物登记公布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明晰文物保护单位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“四有”工作要求、建设控制地带划定以及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保护范围和建设控制地带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内的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禁止行为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对未定级不可移动文物作出标志说明，建立记录档案，明确管理责任人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，并可以确定文物的占地范围；落实“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先调查、后建设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制度，并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文物保护单位保护范围划定前已有的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不属于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文物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</w:rPr>
        <w:t>建筑物和构筑物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218FC4"/>
          <w:lang w:eastAsia="zh-CN"/>
        </w:rPr>
        <w:t>的处理作出规定，同时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对开放使用管理、损毁报告、跨边界管理等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作出规定。</w:t>
      </w:r>
    </w:p>
    <w:p w14:paraId="5C5FA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三是加强考古发掘管理。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整体性保护，明确划定地下文物埋藏区、水下文物保护区；落实“先考古、后出让”制度，明确工程建设审批程序前置规定，同时对考古发掘验收、考古资料整理、出土出水文物保管、考古经费、发现文物的处置等作出规定。</w:t>
      </w:r>
    </w:p>
    <w:p w14:paraId="168796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四是完善对馆藏文物和民间收藏文物的管理。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平对待国有与非国有文物收藏单位，鼓励社会力量设立非国有文物收藏单位；强化安全责任，明晰文物收藏单位安全管理制度与设施要求；明确馆藏文物档案、征集、借用、调拨交换以及修复、拓印、拍摄等规定；鼓励公民、法人和其他组织合法收藏文物，明确合法的民间收藏文物可依法流通；加强对民间收藏活动的指导、管理和服务，严格执行文物销售、拍卖许可证制度，推动公益性文物鉴定咨询。</w:t>
      </w:r>
    </w:p>
    <w:p w14:paraId="04F8B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color="218FC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五是推进文物研究与利用。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color="218FC4"/>
          <w:lang w:val="en-US" w:eastAsia="zh-CN" w:bidi="ar-SA"/>
        </w:rPr>
        <w:t>县级以上人民政府文物行政部门加强对文物研究与利用活动的指导，加强对文物价值的挖掘阐释，推动文物资源与旅游产业融合发展，提供多样化多层次的文化产品与服务；推动文物保护单位向社会开放，鼓励单位和个人所有的不可移动文物向社会开放；鼓励社会力量依法利用文物，开展社区服务、文化展示、参观游览、经营服务、文创开发等活动。</w:t>
      </w:r>
    </w:p>
    <w:p w14:paraId="5FC78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color="218FC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六是加强保障与监督。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color="218FC4"/>
          <w:lang w:val="en-US" w:eastAsia="zh-CN" w:bidi="ar-SA"/>
        </w:rPr>
        <w:t>明确县级以上人民政府建立健全文物保护监督检查、约谈、投诉举报制度，加强文物保护工作队伍建设；加强文物保护数字化工作，建立文物资源数据信息平台；加强国有博物馆、纪念馆、文物保护单位等的事业性收入，和依托文物保护单位设立的国有旅游景区的经营收入的用途管理，引导、鼓励社会力量参与文物保护工作。</w:t>
      </w:r>
    </w:p>
    <w:p w14:paraId="273B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0"/>
        <w:jc w:val="left"/>
      </w:pPr>
    </w:p>
    <w:sectPr>
      <w:pgSz w:w="11906" w:h="16838"/>
      <w:pgMar w:top="204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7CAB1"/>
    <w:multiLevelType w:val="singleLevel"/>
    <w:tmpl w:val="90C7CA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40BC"/>
    <w:rsid w:val="088A61B1"/>
    <w:rsid w:val="0D9F625A"/>
    <w:rsid w:val="0EF5832D"/>
    <w:rsid w:val="0FD02E84"/>
    <w:rsid w:val="177C40BC"/>
    <w:rsid w:val="19540841"/>
    <w:rsid w:val="1EC5748A"/>
    <w:rsid w:val="22DE1CC2"/>
    <w:rsid w:val="288F1562"/>
    <w:rsid w:val="41BC0325"/>
    <w:rsid w:val="49EE1FB5"/>
    <w:rsid w:val="508C2093"/>
    <w:rsid w:val="525A3ACB"/>
    <w:rsid w:val="53994C58"/>
    <w:rsid w:val="56B17176"/>
    <w:rsid w:val="59814033"/>
    <w:rsid w:val="6C00528B"/>
    <w:rsid w:val="6F178B50"/>
    <w:rsid w:val="70136361"/>
    <w:rsid w:val="751DF0E7"/>
    <w:rsid w:val="7BF211A3"/>
    <w:rsid w:val="AAF7B52D"/>
    <w:rsid w:val="FF6D8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2339</Words>
  <Characters>2351</Characters>
  <Lines>0</Lines>
  <Paragraphs>0</Paragraphs>
  <TotalTime>9</TotalTime>
  <ScaleCrop>false</ScaleCrop>
  <LinksUpToDate>false</LinksUpToDate>
  <CharactersWithSpaces>2351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2025-07-11T13:16:00Z</dcterms:created>
  <dc:creator>斯内克</dc:creator>
  <cp:lastModifiedBy>斯内克</cp:lastModifiedBy>
  <dcterms:modified xsi:type="dcterms:W3CDTF">2025-07-10T16:48:06Z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5ADB102A856E62EB467E6F68ADFEB2A9_43</vt:lpwstr>
  </property>
  <property fmtid="{D5CDD505-2E9C-101B-9397-08002B2CF9AE}" pid="4" name="KSOTemplateDocerSaveRecord">
    <vt:lpwstr>eyJoZGlkIjoiMzRkMDk5YjA5NTg0Yzg2ZjJjZjVhZjhhNTYxNzE0MmEiLCJ1c2VySWQiOiIzOTM4NzE1NzQifQ==</vt:lpwstr>
  </property>
</Properties>
</file>