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1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01E96185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val="zh-CN"/>
        </w:rPr>
      </w:pPr>
    </w:p>
    <w:p w14:paraId="0B956DFD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val="zh-CN"/>
        </w:rPr>
      </w:pPr>
      <w:r>
        <w:rPr>
          <w:rFonts w:hint="eastAsia" w:eastAsia="黑体" w:cs="Times New Roman"/>
          <w:bCs/>
          <w:color w:val="000000"/>
          <w:sz w:val="44"/>
          <w:szCs w:val="44"/>
          <w:lang w:val="zh-CN"/>
        </w:rPr>
        <w:t>山东省数智文旅解决方案</w:t>
      </w:r>
    </w:p>
    <w:p w14:paraId="4EF2C82A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val="zh-CN"/>
        </w:rPr>
      </w:pPr>
      <w:r>
        <w:rPr>
          <w:rFonts w:hint="eastAsia" w:eastAsia="黑体" w:cs="Times New Roman"/>
          <w:bCs/>
          <w:color w:val="000000"/>
          <w:sz w:val="44"/>
          <w:szCs w:val="44"/>
          <w:lang w:val="en-US" w:eastAsia="zh-CN"/>
        </w:rPr>
        <w:t>新技术应用类</w:t>
      </w: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val="zh-CN"/>
        </w:rPr>
        <w:t>申报书</w:t>
      </w:r>
    </w:p>
    <w:p w14:paraId="64FA4480">
      <w:pPr>
        <w:rPr>
          <w:rFonts w:ascii="Times New Roman" w:hAnsi="Times New Roman" w:eastAsia="宋体" w:cs="Times New Roman"/>
          <w:color w:val="000000"/>
          <w:sz w:val="32"/>
          <w:szCs w:val="32"/>
          <w:lang w:val="zh-CN"/>
        </w:rPr>
      </w:pPr>
    </w:p>
    <w:p w14:paraId="78FF9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63EC6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0FE0B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31A744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0FD7D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64C4D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4459"/>
      </w:tblGrid>
      <w:tr w14:paraId="7D6B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53FC9C73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>申报项目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名称：</w:t>
            </w:r>
          </w:p>
        </w:tc>
        <w:tc>
          <w:tcPr>
            <w:tcW w:w="4459" w:type="dxa"/>
            <w:tcBorders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B01FCBB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</w:p>
        </w:tc>
      </w:tr>
      <w:tr w14:paraId="057E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1FF25111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4EBD7D01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</w:p>
        </w:tc>
      </w:tr>
      <w:tr w14:paraId="79C0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365F67FA">
            <w:pP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30"/>
                <w:szCs w:val="30"/>
                <w:lang w:eastAsia="zh-CN"/>
              </w:rPr>
              <w:t>联合申报单位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54E42D7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single"/>
              </w:rPr>
            </w:pPr>
          </w:p>
        </w:tc>
      </w:tr>
      <w:tr w14:paraId="0933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4BA3C79B">
            <w:pPr>
              <w:rPr>
                <w:rFonts w:hint="eastAsia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7ACBEBB">
            <w:pPr>
              <w:ind w:firstLine="1184" w:firstLineChars="400"/>
              <w:rPr>
                <w:rFonts w:ascii="Times New Roman" w:hAnsi="Times New Roman" w:eastAsia="黑体" w:cs="Times New Roman"/>
                <w:color w:val="000000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14E59C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5" w:type="default"/>
          <w:pgSz w:w="11906" w:h="16838"/>
          <w:pgMar w:top="2098" w:right="1474" w:bottom="1985" w:left="1588" w:header="992" w:footer="1588" w:gutter="0"/>
          <w:cols w:space="720" w:num="1"/>
          <w:docGrid w:type="linesAndChars" w:linePitch="579" w:charSpace="-849"/>
        </w:sectPr>
      </w:pPr>
    </w:p>
    <w:p w14:paraId="3615544D"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填 写 说 明</w:t>
      </w:r>
    </w:p>
    <w:p w14:paraId="2BCB0465">
      <w:pPr>
        <w:snapToGrid w:val="0"/>
        <w:spacing w:line="240" w:lineRule="auto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5C94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1.申报单位须尊重他人知识产权，遵守国家有关知识产权法规，在申报项目方案中引用他人研究成果时，必须以脚注或其他方式注明出处。</w:t>
      </w:r>
    </w:p>
    <w:p w14:paraId="55582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2.申报项目介绍内容应凝练，避免过于理论化和技术化。</w:t>
      </w:r>
    </w:p>
    <w:p w14:paraId="66DB7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3.申报单位应如实、详细地按要求填写申报书，于2026年3月10日前将Word版（不含章）和加盖公章的PDF版，连同附件材料发送至指定邮箱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sdzhwlzj@126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E981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4.邮件标题请注明：【新技术】+申报单位名称+项目名称。</w:t>
      </w:r>
    </w:p>
    <w:p w14:paraId="69622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7798226">
      <w:pPr>
        <w:numPr>
          <w:ilvl w:val="0"/>
          <w:numId w:val="0"/>
        </w:numPr>
        <w:spacing w:line="240" w:lineRule="auto"/>
        <w:rPr>
          <w:rFonts w:ascii="Times New Roman" w:hAnsi="Times New Roman" w:eastAsia="仿宋_GB2312" w:cs="仿宋_GB2312"/>
          <w:sz w:val="32"/>
          <w:szCs w:val="32"/>
        </w:rPr>
      </w:pPr>
    </w:p>
    <w:p w14:paraId="3ACD66CC">
      <w:pPr>
        <w:spacing w:line="30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36"/>
          <w:sz w:val="44"/>
          <w:szCs w:val="44"/>
        </w:rPr>
      </w:pPr>
      <w:r>
        <w:rPr>
          <w:rFonts w:hint="eastAsia" w:ascii="黑体" w:hAnsi="黑体" w:eastAsia="黑体" w:cs="黑体"/>
          <w:bCs/>
          <w:kern w:val="36"/>
          <w:sz w:val="44"/>
          <w:szCs w:val="44"/>
        </w:rPr>
        <w:t>承 诺 申 明</w:t>
      </w:r>
    </w:p>
    <w:p w14:paraId="04496DE0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</w:rPr>
      </w:pPr>
    </w:p>
    <w:p w14:paraId="1FBC35E8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我单位对提供全部资料的真实性负责；</w:t>
      </w:r>
    </w:p>
    <w:p w14:paraId="481F640C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我单位所涉及的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解决方案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相关内容皆符合国家有关法律法规及相关产业政策要求；</w:t>
      </w:r>
    </w:p>
    <w:p w14:paraId="107EC46A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我单位对所提交的材料负有保密责任，按照国家相关保密规定，所提交的内容未涉及国家秘密、个人信息和其他敏感信息；</w:t>
      </w:r>
    </w:p>
    <w:p w14:paraId="76905B3A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新技术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应用”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相关材料中所填写的相关文字和图片已经由我单位审核，确认无误。</w:t>
      </w:r>
    </w:p>
    <w:p w14:paraId="59079D0E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我单位对违反上述声明导致的后果承担全部法律责任。</w:t>
      </w:r>
    </w:p>
    <w:p w14:paraId="6B832B61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 系 人：</w:t>
      </w:r>
    </w:p>
    <w:p w14:paraId="12915D00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</w:p>
    <w:p w14:paraId="0FE9988B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2825E30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6B0DA9C">
      <w:pPr>
        <w:spacing w:line="240" w:lineRule="auto"/>
        <w:ind w:right="640" w:firstLine="4320" w:firstLineChars="13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法定代表人：（签字）</w:t>
      </w:r>
    </w:p>
    <w:p w14:paraId="479DF8D2">
      <w:pPr>
        <w:spacing w:line="240" w:lineRule="auto"/>
        <w:ind w:right="640" w:firstLine="4320" w:firstLineChars="13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单位公章：（单位盖章）</w:t>
      </w:r>
    </w:p>
    <w:p w14:paraId="73B9C45D">
      <w:pPr>
        <w:spacing w:line="240" w:lineRule="auto"/>
        <w:ind w:right="640" w:firstLine="4800" w:firstLineChars="1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  月     日</w:t>
      </w:r>
    </w:p>
    <w:p w14:paraId="4FC50D58">
      <w:pPr>
        <w:numPr>
          <w:ilvl w:val="0"/>
          <w:numId w:val="0"/>
        </w:numPr>
        <w:spacing w:line="560" w:lineRule="exact"/>
        <w:ind w:left="0" w:leftChars="0" w:right="640" w:rightChars="0" w:firstLine="800" w:firstLineChars="0"/>
        <w:jc w:val="both"/>
        <w:outlineLvl w:val="0"/>
        <w:rPr>
          <w:rFonts w:hint="eastAsia" w:ascii="Times New Roman" w:hAnsi="Times New Roman" w:eastAsia="黑体" w:cs="Times New Roman"/>
          <w:kern w:val="2"/>
          <w:sz w:val="32"/>
          <w:szCs w:val="22"/>
          <w:lang w:val="en-US" w:eastAsia="zh-CN" w:bidi="ar-SA"/>
        </w:rPr>
      </w:pPr>
    </w:p>
    <w:p w14:paraId="51A39F99">
      <w:pPr>
        <w:numPr>
          <w:ilvl w:val="0"/>
          <w:numId w:val="0"/>
        </w:numPr>
        <w:spacing w:line="560" w:lineRule="exact"/>
        <w:ind w:left="0" w:leftChars="0" w:right="640" w:rightChars="0" w:firstLine="800" w:firstLineChars="0"/>
        <w:jc w:val="both"/>
        <w:outlineLvl w:val="0"/>
        <w:rPr>
          <w:rFonts w:hint="eastAsia" w:ascii="Times New Roman" w:hAnsi="Times New Roman" w:eastAsia="仿宋" w:cs="仿宋"/>
          <w:sz w:val="32"/>
        </w:rPr>
      </w:pPr>
    </w:p>
    <w:p w14:paraId="3EC3087D">
      <w:pPr>
        <w:numPr>
          <w:ilvl w:val="0"/>
          <w:numId w:val="0"/>
        </w:numPr>
        <w:spacing w:line="560" w:lineRule="exact"/>
        <w:ind w:left="-420" w:leftChars="-200" w:right="640" w:rightChars="0" w:firstLine="0" w:firstLineChars="0"/>
        <w:jc w:val="both"/>
        <w:outlineLvl w:val="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仿宋" w:cs="仿宋"/>
          <w:sz w:val="32"/>
        </w:rPr>
        <w:br w:type="page"/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单位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基本信息</w:t>
      </w:r>
    </w:p>
    <w:tbl>
      <w:tblPr>
        <w:tblStyle w:val="5"/>
        <w:tblW w:w="9678" w:type="dxa"/>
        <w:tblInd w:w="-4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29"/>
        <w:gridCol w:w="3150"/>
        <w:gridCol w:w="1346"/>
        <w:gridCol w:w="2208"/>
      </w:tblGrid>
      <w:tr w14:paraId="29A1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2978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43EE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4C09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EFB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8634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F0B33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FEFC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CBBD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6E68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BDC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4DE2D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0607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AA6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AD8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177E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B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48CF8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17F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组织机构代码或统一社会信用代码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929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502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D3C3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E55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申报主体类型</w:t>
            </w:r>
          </w:p>
        </w:tc>
        <w:tc>
          <w:tcPr>
            <w:tcW w:w="6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3995">
            <w:pPr>
              <w:autoSpaceDE w:val="0"/>
              <w:spacing w:line="440" w:lineRule="exact"/>
              <w:ind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文旅管理部门 □文旅企业 □文化场馆 □科技公司 □高校/科研院所 □其他</w:t>
            </w:r>
          </w:p>
        </w:tc>
      </w:tr>
      <w:tr w14:paraId="25D49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345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法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定代表人信息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A30A1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D594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FD68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8A3C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29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EB6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6092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3360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620D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DA15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36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6" w:hRule="atLeast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533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简介</w:t>
            </w:r>
          </w:p>
          <w:p w14:paraId="65E58FAD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5815F">
            <w:pPr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7416504E">
            <w:pPr>
              <w:snapToGrid w:val="0"/>
              <w:spacing w:line="240" w:lineRule="auto"/>
              <w:jc w:val="both"/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请着重描述申报单位的基本情况、主营业务/核心业务、核心竞争优势、在新技术应用方面已有的基础等</w:t>
            </w:r>
          </w:p>
          <w:p w14:paraId="7F9C33C1">
            <w:pPr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</w:tc>
      </w:tr>
    </w:tbl>
    <w:p w14:paraId="46A2790F">
      <w:pPr>
        <w:numPr>
          <w:ilvl w:val="0"/>
          <w:numId w:val="0"/>
        </w:numPr>
        <w:spacing w:line="560" w:lineRule="exact"/>
        <w:ind w:left="-420" w:leftChars="-200" w:right="640" w:rightChars="0" w:firstLine="0" w:firstLineChars="0"/>
        <w:jc w:val="both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二、项目具体内容</w:t>
      </w:r>
    </w:p>
    <w:tbl>
      <w:tblPr>
        <w:tblStyle w:val="6"/>
        <w:tblW w:w="0" w:type="auto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5925"/>
      </w:tblGrid>
      <w:tr w14:paraId="027B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850" w:type="dxa"/>
            <w:vAlign w:val="center"/>
          </w:tcPr>
          <w:p w14:paraId="7922283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背景与目标</w:t>
            </w:r>
          </w:p>
        </w:tc>
        <w:tc>
          <w:tcPr>
            <w:tcW w:w="5925" w:type="dxa"/>
          </w:tcPr>
          <w:p w14:paraId="2F14FC71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需求分析：说明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新技术应用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的痛点或业务需求；</w:t>
            </w:r>
          </w:p>
          <w:p w14:paraId="6D96F8D8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目标设定：明确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解决的核心问题及预期效果</w:t>
            </w:r>
          </w:p>
        </w:tc>
      </w:tr>
      <w:tr w14:paraId="6174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850" w:type="dxa"/>
            <w:vAlign w:val="center"/>
          </w:tcPr>
          <w:p w14:paraId="3BDF680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技术架构与创新点</w:t>
            </w:r>
          </w:p>
        </w:tc>
        <w:tc>
          <w:tcPr>
            <w:tcW w:w="5925" w:type="dxa"/>
          </w:tcPr>
          <w:p w14:paraId="796C6F3C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技术架构：描述系统组成、数据流程、关键技术模块；</w:t>
            </w:r>
          </w:p>
          <w:p w14:paraId="39B70D8A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创新点：突出技术原创性、模式改进或跨领域融合</w:t>
            </w:r>
          </w:p>
        </w:tc>
      </w:tr>
      <w:tr w14:paraId="6209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2850" w:type="dxa"/>
            <w:vAlign w:val="center"/>
          </w:tcPr>
          <w:p w14:paraId="598E7DB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实施过程与关键挑战</w:t>
            </w:r>
          </w:p>
        </w:tc>
        <w:tc>
          <w:tcPr>
            <w:tcW w:w="5925" w:type="dxa"/>
          </w:tcPr>
          <w:p w14:paraId="5286DFB5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实施步骤：分阶段说明项目推进过程；</w:t>
            </w:r>
          </w:p>
          <w:p w14:paraId="05D5A9E6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挑战与应对：列举技术、管理或资源方面的困难及解决方案。</w:t>
            </w:r>
          </w:p>
        </w:tc>
      </w:tr>
      <w:tr w14:paraId="49AD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850" w:type="dxa"/>
            <w:vAlign w:val="center"/>
          </w:tcPr>
          <w:p w14:paraId="2875246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预期应用成效</w:t>
            </w:r>
          </w:p>
        </w:tc>
        <w:tc>
          <w:tcPr>
            <w:tcW w:w="5925" w:type="dxa"/>
          </w:tcPr>
          <w:p w14:paraId="486B84CC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经济效益：如成本降低%、效率提升%、收益增长等；</w:t>
            </w:r>
          </w:p>
          <w:p w14:paraId="13B613FF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社会效益：如安全水平提升、公共服务优化、环境改善等；</w:t>
            </w:r>
          </w:p>
          <w:p w14:paraId="75F3654C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用户反馈：附至少1份用户证明或第三方评价（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）</w:t>
            </w:r>
          </w:p>
        </w:tc>
      </w:tr>
      <w:tr w14:paraId="19D6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2850" w:type="dxa"/>
            <w:vAlign w:val="center"/>
          </w:tcPr>
          <w:p w14:paraId="0C66400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70707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经验总结与未来规划</w:t>
            </w:r>
          </w:p>
        </w:tc>
        <w:tc>
          <w:tcPr>
            <w:tcW w:w="5925" w:type="dxa"/>
          </w:tcPr>
          <w:p w14:paraId="6D5523B2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示范意义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：阐述该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技术应用对文旅行业领域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的示范引领作用；</w:t>
            </w:r>
          </w:p>
          <w:p w14:paraId="5748B33D">
            <w:pPr>
              <w:snapToGrid w:val="0"/>
              <w:spacing w:line="240" w:lineRule="auto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行业建议：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如何为其他企业或地区提供可借鉴的经验和模式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285D0F0">
      <w:pPr>
        <w:numPr>
          <w:ilvl w:val="0"/>
          <w:numId w:val="0"/>
        </w:numPr>
        <w:spacing w:line="560" w:lineRule="exact"/>
        <w:ind w:right="640" w:rightChars="0"/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辅助佐证材料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5F17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9" w:hRule="atLeast"/>
        </w:trPr>
        <w:tc>
          <w:tcPr>
            <w:tcW w:w="8516" w:type="dxa"/>
            <w:vAlign w:val="top"/>
          </w:tcPr>
          <w:p w14:paraId="48380368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相关知识产权证明材料（专利证书、软件著作权登记证书等）
</w:t>
            </w:r>
          </w:p>
          <w:p w14:paraId="0C048C60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获奖证书及相关荣誉证明
</w:t>
            </w:r>
          </w:p>
          <w:p w14:paraId="7016C511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技术文档（技术报告、用户手册等）
</w:t>
            </w:r>
          </w:p>
          <w:p w14:paraId="0684FC78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实际应用效果的数据统计报表和分析报告
</w:t>
            </w:r>
          </w:p>
          <w:p w14:paraId="4AC08D0F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用户反馈意见和满意度调查结果
</w:t>
            </w:r>
          </w:p>
          <w:p w14:paraId="3878014B">
            <w:pPr>
              <w:snapToGrid w:val="0"/>
              <w:spacing w:line="240" w:lineRule="auto"/>
              <w:jc w:val="both"/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其他相关证明材料（如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媒体报道、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合作协议、项目验收报告</w:t>
            </w:r>
            <w:r>
              <w:rPr>
                <w:rFonts w:hint="eastAsia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、视频演示</w:t>
            </w:r>
            <w:r>
              <w:rPr>
                <w:rFonts w:hint="default" w:ascii="Times New Roman" w:hAnsi="Times New Roman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等）</w:t>
            </w:r>
          </w:p>
          <w:p w14:paraId="45C848E7">
            <w:pPr>
              <w:snapToGrid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45E9A2DC">
            <w:pPr>
              <w:snapToGrid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6947DFE">
            <w:pPr>
              <w:snapToGrid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2F6C5EC0">
            <w:pPr>
              <w:snapToGrid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0F66ADE2">
            <w:pPr>
              <w:snapToGrid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82EF880">
            <w:pPr>
              <w:snapToGrid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</w:tbl>
    <w:p w14:paraId="52165934"/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3A144-7536-4247-A110-7EDD837F7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04DD05-D481-4229-9E4E-7C11AED8C6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0654C27-2369-4763-A628-EA9140CDCC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2ADC84-C667-4D3B-994E-A671864D29E2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D85845B-EAE7-4299-9B17-5D97D1C6589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2BE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26C7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82F1"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 w14:paraId="6CB77112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101E8"/>
    <w:multiLevelType w:val="singleLevel"/>
    <w:tmpl w:val="C0B101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WQ0YjRkYmNlYTkyOTc5M2ZlM2IyODY1NDYyOTgifQ=="/>
  </w:docVars>
  <w:rsids>
    <w:rsidRoot w:val="67903230"/>
    <w:rsid w:val="06405D80"/>
    <w:rsid w:val="0E937381"/>
    <w:rsid w:val="1F4E1B6A"/>
    <w:rsid w:val="31784D52"/>
    <w:rsid w:val="3E3D0AE6"/>
    <w:rsid w:val="4A6A73D4"/>
    <w:rsid w:val="57BE7170"/>
    <w:rsid w:val="67903230"/>
    <w:rsid w:val="6F635E50"/>
    <w:rsid w:val="770430DD"/>
    <w:rsid w:val="7859307B"/>
    <w:rsid w:val="7891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1046</Words>
  <Characters>1080</Characters>
  <Lines>0</Lines>
  <Paragraphs>0</Paragraphs>
  <TotalTime>0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2025-10-22T02:06:00Z</dcterms:created>
  <dc:creator>WPS_1682392062</dc:creator>
  <cp:lastModifiedBy>侯衍捍</cp:lastModifiedBy>
  <dcterms:modified xsi:type="dcterms:W3CDTF">2026-02-06T13:22:15Z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067C891B918C4DA19F6D6C4FDB626960_13</vt:lpwstr>
  </property>
  <property fmtid="{D5CDD505-2E9C-101B-9397-08002B2CF9AE}" pid="4" name="KSOTemplateDocerSaveRecord">
    <vt:lpwstr>eyJoZGlkIjoiZjU5ZDQ4YmI3ZGM0YTc4ZTg3ZDc0NDY4ZWQ5N2M2NmMiLCJ1c2VySWQiOiI3MjMyMzI2MjAifQ==</vt:lpwstr>
  </property>
</Properties>
</file>