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85" w:rsidRDefault="00A33885" w:rsidP="00A33885">
      <w:pPr>
        <w:widowControl/>
        <w:jc w:val="left"/>
      </w:pPr>
      <w:r>
        <w:rPr>
          <w:rFonts w:ascii="黑体" w:eastAsia="黑体" w:hAnsi="黑体" w:hint="eastAsia"/>
          <w:sz w:val="32"/>
        </w:rPr>
        <w:t>附件4</w:t>
      </w:r>
    </w:p>
    <w:p w:rsidR="00B744FE" w:rsidRDefault="00E410DE">
      <w:pPr>
        <w:pStyle w:val="a3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eastAsia="黑体" w:hAnsi="黑体" w:cs="黑体"/>
          <w:sz w:val="28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山东省地方标准项目申请书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1059"/>
        <w:gridCol w:w="359"/>
        <w:gridCol w:w="1066"/>
        <w:gridCol w:w="2002"/>
      </w:tblGrid>
      <w:tr w:rsidR="00B744FE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）个月</w:t>
            </w:r>
          </w:p>
        </w:tc>
      </w:tr>
      <w:tr w:rsidR="00B744FE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省有关行政</w:t>
            </w:r>
          </w:p>
          <w:p w:rsidR="00B744FE" w:rsidRDefault="00E410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主管</w:t>
            </w:r>
            <w:r>
              <w:rPr>
                <w:rFonts w:ascii="仿宋_GB2312" w:eastAsia="仿宋_GB2312"/>
                <w:sz w:val="24"/>
              </w:rPr>
              <w:t>部门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主导</w:t>
            </w:r>
            <w:r>
              <w:rPr>
                <w:rFonts w:ascii="仿宋_GB2312" w:eastAsia="仿宋_GB2312"/>
                <w:sz w:val="24"/>
              </w:rPr>
              <w:t>起草单位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部门履职范围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经济调节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市场监管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社会管理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公共服务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环境保护</w:t>
            </w:r>
          </w:p>
        </w:tc>
      </w:tr>
      <w:tr w:rsidR="00B744FE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标准性质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□强制性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□推荐性</w:t>
            </w:r>
          </w:p>
        </w:tc>
      </w:tr>
      <w:tr w:rsidR="00B744FE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联系邮箱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158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一、制定地方标准的必要性、可行性（标准制定背景意义；</w:t>
            </w:r>
            <w:r>
              <w:rPr>
                <w:rFonts w:ascii="仿宋_GB2312" w:eastAsia="仿宋_GB2312" w:hAnsi="仿宋_GB2312" w:cs="仿宋_GB2312"/>
                <w:sz w:val="24"/>
              </w:rPr>
              <w:t>标准制定的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政策</w:t>
            </w:r>
            <w:r>
              <w:rPr>
                <w:rFonts w:ascii="仿宋_GB2312" w:eastAsia="仿宋_GB2312" w:hAnsi="仿宋_GB2312" w:cs="仿宋_GB2312"/>
                <w:sz w:val="24"/>
              </w:rPr>
              <w:t>可行性、技术可行性、实践可行性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等）</w:t>
            </w: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249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二、地方标准适用范围和主要技术内容（修订标准应当明确修订内容）</w:t>
            </w: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265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FE" w:rsidRDefault="00E410DE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本领域地方标准体系框架分析</w:t>
            </w:r>
          </w:p>
          <w:p w:rsidR="00B744FE" w:rsidRDefault="00B744FE">
            <w:pPr>
              <w:rPr>
                <w:rFonts w:ascii="仿宋_GB2312" w:eastAsia="仿宋_GB2312" w:hAnsi="仿宋" w:cs="宋体"/>
                <w:sz w:val="24"/>
                <w:highlight w:val="lightGray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185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四、与相关国家标准、行业标准协调配套情况；对标采标国际标准情况（标准先进性对标分析）</w:t>
            </w:r>
          </w:p>
        </w:tc>
      </w:tr>
      <w:tr w:rsidR="00B744FE">
        <w:trPr>
          <w:trHeight w:val="136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五、起草单位情况、进度安排及保障措施（组织、人员、技术和经费等）</w:t>
            </w: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136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六、地方标准实施预期效益分析（经济效益、社会效益和生态效益等）</w:t>
            </w:r>
          </w:p>
          <w:p w:rsidR="00B744FE" w:rsidRDefault="00B744FE">
            <w:pPr>
              <w:rPr>
                <w:rFonts w:ascii="仿宋_GB2312" w:eastAsia="仿宋_GB2312" w:hAnsi="仿宋" w:cs="宋体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4FE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七、地方标准组织实施及监督工作方案（组织实施方案应包括标准宣贯、培训、实施计划和经费保障等；监督工作方案应包括监督的内容及方式、标准实施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要求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落实情况及问题处理等）</w:t>
            </w: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</w:tc>
      </w:tr>
      <w:tr w:rsidR="00B744FE">
        <w:trPr>
          <w:trHeight w:val="1835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八、有关部门协调情况（如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有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职责交叉，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请予以说明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）</w:t>
            </w: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</w:tc>
      </w:tr>
      <w:tr w:rsidR="00B744FE">
        <w:trPr>
          <w:trHeight w:val="794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E" w:rsidRDefault="00E410DE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</w:rPr>
              <w:t>九、其他</w:t>
            </w: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B744FE" w:rsidRDefault="00B744FE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</w:tc>
      </w:tr>
      <w:tr w:rsidR="00B744FE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E" w:rsidRDefault="00E410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省有关行政主管部门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B744FE" w:rsidRDefault="00B744FE">
            <w:pPr>
              <w:rPr>
                <w:rFonts w:ascii="仿宋_GB2312" w:eastAsia="仿宋_GB2312" w:hAnsi="仿宋" w:cs="宋体"/>
                <w:sz w:val="24"/>
              </w:rPr>
            </w:pPr>
          </w:p>
          <w:p w:rsidR="00B744FE" w:rsidRDefault="00B744FE">
            <w:pPr>
              <w:rPr>
                <w:rFonts w:ascii="仿宋_GB2312" w:eastAsia="仿宋_GB2312"/>
                <w:sz w:val="24"/>
              </w:rPr>
            </w:pPr>
          </w:p>
          <w:p w:rsidR="00B744FE" w:rsidRDefault="00B744F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744FE" w:rsidRDefault="00E410DE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B744FE" w:rsidRDefault="00E410DE">
            <w:pPr>
              <w:ind w:firstLineChars="2650" w:firstLine="6360"/>
              <w:rPr>
                <w:rFonts w:ascii="仿宋_GB2312" w:eastAsia="仿宋_GB2312" w:hAnsi="仿宋" w:cs="宋体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B744FE" w:rsidRDefault="00E410DE">
      <w:pPr>
        <w:spacing w:line="300" w:lineRule="exact"/>
        <w:ind w:left="630" w:hangingChars="300" w:hanging="63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 w:hint="eastAsia"/>
          <w:szCs w:val="21"/>
          <w:shd w:val="clear" w:color="auto" w:fill="FFFFFF"/>
        </w:rPr>
        <w:t>注：</w:t>
      </w:r>
      <w:r>
        <w:rPr>
          <w:rFonts w:ascii="仿宋_GB2312" w:eastAsia="仿宋_GB2312"/>
          <w:szCs w:val="21"/>
          <w:shd w:val="clear" w:color="auto" w:fill="FFFFFF"/>
        </w:rPr>
        <w:t>1.</w:t>
      </w:r>
      <w:r>
        <w:rPr>
          <w:rFonts w:ascii="仿宋_GB2312" w:eastAsia="仿宋_GB2312"/>
          <w:szCs w:val="21"/>
          <w:shd w:val="clear" w:color="auto" w:fill="FFFFFF"/>
        </w:rPr>
        <w:t>标准名称应遵循</w:t>
      </w:r>
      <w:r>
        <w:rPr>
          <w:rFonts w:ascii="仿宋_GB2312" w:eastAsia="仿宋_GB2312"/>
          <w:szCs w:val="21"/>
          <w:shd w:val="clear" w:color="auto" w:fill="FFFFFF"/>
        </w:rPr>
        <w:t>GB/T 1.1</w:t>
      </w:r>
      <w:r>
        <w:rPr>
          <w:rFonts w:ascii="仿宋_GB2312" w:eastAsia="仿宋_GB2312" w:hint="eastAsia"/>
          <w:szCs w:val="21"/>
          <w:shd w:val="clear" w:color="auto" w:fill="FFFFFF"/>
        </w:rPr>
        <w:t>—</w:t>
      </w:r>
      <w:r>
        <w:rPr>
          <w:rFonts w:ascii="仿宋_GB2312" w:eastAsia="仿宋_GB2312"/>
          <w:szCs w:val="21"/>
          <w:shd w:val="clear" w:color="auto" w:fill="FFFFFF"/>
        </w:rPr>
        <w:t>2020</w:t>
      </w:r>
      <w:r>
        <w:rPr>
          <w:rFonts w:ascii="仿宋_GB2312" w:eastAsia="仿宋_GB2312"/>
          <w:szCs w:val="21"/>
          <w:shd w:val="clear" w:color="auto" w:fill="FFFFFF"/>
        </w:rPr>
        <w:t>《标准化工作导则</w:t>
      </w:r>
      <w:r>
        <w:rPr>
          <w:rFonts w:ascii="仿宋_GB2312" w:eastAsia="仿宋_GB2312"/>
          <w:szCs w:val="21"/>
          <w:shd w:val="clear" w:color="auto" w:fill="FFFFFF"/>
        </w:rPr>
        <w:t xml:space="preserve">  </w:t>
      </w:r>
      <w:r>
        <w:rPr>
          <w:rFonts w:ascii="仿宋_GB2312" w:eastAsia="仿宋_GB2312"/>
          <w:szCs w:val="21"/>
          <w:shd w:val="clear" w:color="auto" w:fill="FFFFFF"/>
        </w:rPr>
        <w:t>第</w:t>
      </w:r>
      <w:r>
        <w:rPr>
          <w:rFonts w:ascii="仿宋_GB2312" w:eastAsia="仿宋_GB2312"/>
          <w:szCs w:val="21"/>
          <w:shd w:val="clear" w:color="auto" w:fill="FFFFFF"/>
        </w:rPr>
        <w:t>1</w:t>
      </w:r>
      <w:r>
        <w:rPr>
          <w:rFonts w:ascii="仿宋_GB2312" w:eastAsia="仿宋_GB2312"/>
          <w:szCs w:val="21"/>
          <w:shd w:val="clear" w:color="auto" w:fill="FFFFFF"/>
        </w:rPr>
        <w:t>部分：标准化文件的结构和起草规则》以及</w:t>
      </w:r>
      <w:r>
        <w:rPr>
          <w:rFonts w:ascii="仿宋_GB2312" w:eastAsia="仿宋_GB2312"/>
          <w:szCs w:val="21"/>
          <w:shd w:val="clear" w:color="auto" w:fill="FFFFFF"/>
        </w:rPr>
        <w:t>GB/T 20001</w:t>
      </w:r>
      <w:r>
        <w:rPr>
          <w:rFonts w:ascii="仿宋_GB2312" w:eastAsia="仿宋_GB2312"/>
          <w:szCs w:val="21"/>
          <w:shd w:val="clear" w:color="auto" w:fill="FFFFFF"/>
        </w:rPr>
        <w:t>《标准编写规则》的规定。</w:t>
      </w:r>
    </w:p>
    <w:p w:rsidR="00B744FE" w:rsidRDefault="00E410DE">
      <w:pPr>
        <w:spacing w:line="300" w:lineRule="exact"/>
        <w:ind w:firstLineChars="200" w:firstLine="42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/>
          <w:szCs w:val="21"/>
          <w:shd w:val="clear" w:color="auto" w:fill="FFFFFF"/>
        </w:rPr>
        <w:t>2.</w:t>
      </w:r>
      <w:r>
        <w:rPr>
          <w:rFonts w:ascii="仿宋_GB2312" w:eastAsia="仿宋_GB2312"/>
          <w:szCs w:val="21"/>
          <w:shd w:val="clear" w:color="auto" w:fill="FFFFFF"/>
        </w:rPr>
        <w:t>山东省地方标准的标准名称原则上不包</w:t>
      </w:r>
      <w:r>
        <w:rPr>
          <w:rFonts w:ascii="仿宋_GB2312" w:eastAsia="仿宋_GB2312" w:hint="eastAsia"/>
          <w:szCs w:val="21"/>
          <w:shd w:val="clear" w:color="auto" w:fill="FFFFFF"/>
        </w:rPr>
        <w:t>含“山东省”和“标准”</w:t>
      </w:r>
      <w:r>
        <w:rPr>
          <w:rFonts w:ascii="仿宋_GB2312" w:eastAsia="仿宋_GB2312"/>
          <w:szCs w:val="21"/>
          <w:shd w:val="clear" w:color="auto" w:fill="FFFFFF"/>
        </w:rPr>
        <w:t>。</w:t>
      </w:r>
    </w:p>
    <w:p w:rsidR="00B744FE" w:rsidRDefault="00E410DE">
      <w:r>
        <w:rPr>
          <w:rFonts w:ascii="仿宋_GB2312" w:eastAsia="仿宋_GB2312"/>
          <w:szCs w:val="21"/>
          <w:shd w:val="clear" w:color="auto" w:fill="FFFFFF"/>
        </w:rPr>
        <w:t>3.</w:t>
      </w:r>
      <w:r>
        <w:rPr>
          <w:rFonts w:ascii="仿宋_GB2312" w:eastAsia="仿宋_GB2312" w:hint="eastAsia"/>
          <w:szCs w:val="21"/>
          <w:shd w:val="clear" w:color="auto" w:fill="FFFFFF"/>
        </w:rPr>
        <w:t>以“</w:t>
      </w:r>
      <w:r>
        <w:rPr>
          <w:rFonts w:ascii="仿宋_GB2312" w:eastAsia="仿宋_GB2312" w:hint="eastAsia"/>
          <w:szCs w:val="21"/>
          <w:shd w:val="clear" w:color="auto" w:fill="FFFFFF"/>
        </w:rPr>
        <w:t>XXXX</w:t>
      </w:r>
      <w:r>
        <w:rPr>
          <w:rFonts w:ascii="仿宋_GB2312" w:eastAsia="仿宋_GB2312" w:hint="eastAsia"/>
          <w:szCs w:val="21"/>
          <w:shd w:val="clear" w:color="auto" w:fill="FFFFFF"/>
        </w:rPr>
        <w:t>规范”为名称的标准，内容应包括要求和证实方法等必备要素；以“</w:t>
      </w:r>
      <w:r>
        <w:rPr>
          <w:rFonts w:ascii="仿宋_GB2312" w:eastAsia="仿宋_GB2312" w:hint="eastAsia"/>
          <w:szCs w:val="21"/>
          <w:shd w:val="clear" w:color="auto" w:fill="FFFFFF"/>
        </w:rPr>
        <w:t>XXXX</w:t>
      </w:r>
      <w:r>
        <w:rPr>
          <w:rFonts w:ascii="仿宋_GB2312" w:eastAsia="仿宋_GB2312" w:hint="eastAsia"/>
          <w:szCs w:val="21"/>
          <w:shd w:val="clear" w:color="auto" w:fill="FFFFFF"/>
        </w:rPr>
        <w:t>规程”为名称的标准，内容应包括要求、程序（步骤）、追溯</w:t>
      </w:r>
      <w:r>
        <w:rPr>
          <w:rFonts w:ascii="仿宋_GB2312" w:eastAsia="仿宋_GB2312" w:hint="eastAsia"/>
          <w:szCs w:val="21"/>
          <w:shd w:val="clear" w:color="auto" w:fill="FFFFFF"/>
        </w:rPr>
        <w:t>/</w:t>
      </w:r>
      <w:r>
        <w:rPr>
          <w:rFonts w:ascii="仿宋_GB2312" w:eastAsia="仿宋_GB2312" w:hint="eastAsia"/>
          <w:szCs w:val="21"/>
          <w:shd w:val="clear" w:color="auto" w:fill="FFFFFF"/>
        </w:rPr>
        <w:t>证实方法等必备要素；以“</w:t>
      </w:r>
      <w:r>
        <w:rPr>
          <w:rFonts w:ascii="仿宋_GB2312" w:eastAsia="仿宋_GB2312" w:hint="eastAsia"/>
          <w:szCs w:val="21"/>
          <w:shd w:val="clear" w:color="auto" w:fill="FFFFFF"/>
        </w:rPr>
        <w:t>XXXX</w:t>
      </w:r>
      <w:r>
        <w:rPr>
          <w:rFonts w:ascii="仿宋_GB2312" w:eastAsia="仿宋_GB2312" w:hint="eastAsia"/>
          <w:szCs w:val="21"/>
          <w:shd w:val="clear" w:color="auto" w:fill="FFFFFF"/>
        </w:rPr>
        <w:t>指南”为名称的标准，内容为普遍性、原则性、方向性指导，一般不涉及具体的原理、条件和步</w:t>
      </w:r>
      <w:r>
        <w:rPr>
          <w:rFonts w:ascii="仿宋_GB2312" w:eastAsia="仿宋_GB2312"/>
          <w:szCs w:val="21"/>
          <w:shd w:val="clear" w:color="auto" w:fill="FFFFFF"/>
        </w:rPr>
        <w:t>骤，也不应规定要求、描述证实方法。</w:t>
      </w:r>
      <w:bookmarkStart w:id="0" w:name="_GoBack"/>
      <w:bookmarkEnd w:id="0"/>
    </w:p>
    <w:sectPr w:rsidR="00B744FE" w:rsidSect="00B7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0DE" w:rsidRDefault="00E410DE" w:rsidP="00A33885">
      <w:r>
        <w:separator/>
      </w:r>
    </w:p>
  </w:endnote>
  <w:endnote w:type="continuationSeparator" w:id="0">
    <w:p w:rsidR="00E410DE" w:rsidRDefault="00E410DE" w:rsidP="00A33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0DE" w:rsidRDefault="00E410DE" w:rsidP="00A33885">
      <w:r>
        <w:separator/>
      </w:r>
    </w:p>
  </w:footnote>
  <w:footnote w:type="continuationSeparator" w:id="0">
    <w:p w:rsidR="00E410DE" w:rsidRDefault="00E410DE" w:rsidP="00A33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1B4F"/>
    <w:multiLevelType w:val="multilevel"/>
    <w:tmpl w:val="36411B4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4FE"/>
    <w:rsid w:val="00A33885"/>
    <w:rsid w:val="00B744FE"/>
    <w:rsid w:val="00E410DE"/>
    <w:rsid w:val="00FD6FE2"/>
    <w:rsid w:val="2C4700D2"/>
    <w:rsid w:val="45DF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4F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744FE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744F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qFormat/>
    <w:rsid w:val="00B744FE"/>
    <w:pPr>
      <w:jc w:val="center"/>
      <w:outlineLvl w:val="0"/>
    </w:pPr>
    <w:rPr>
      <w:rFonts w:ascii="Arial" w:hAnsi="Arial"/>
      <w:b/>
      <w:sz w:val="32"/>
    </w:rPr>
  </w:style>
  <w:style w:type="paragraph" w:customStyle="1" w:styleId="1">
    <w:name w:val="样式1"/>
    <w:basedOn w:val="a4"/>
    <w:rsid w:val="00B744FE"/>
  </w:style>
  <w:style w:type="paragraph" w:styleId="a5">
    <w:name w:val="header"/>
    <w:basedOn w:val="a"/>
    <w:link w:val="Char"/>
    <w:rsid w:val="00A33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33885"/>
    <w:rPr>
      <w:kern w:val="2"/>
      <w:sz w:val="18"/>
      <w:szCs w:val="18"/>
    </w:rPr>
  </w:style>
  <w:style w:type="paragraph" w:styleId="a6">
    <w:name w:val="footer"/>
    <w:basedOn w:val="a"/>
    <w:link w:val="Char0"/>
    <w:rsid w:val="00A33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338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2021-02-23T08:57:00Z</cp:lastPrinted>
  <dcterms:created xsi:type="dcterms:W3CDTF">2014-10-29T12:08:00Z</dcterms:created>
  <dcterms:modified xsi:type="dcterms:W3CDTF">2021-02-23T08:57:00Z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