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default" w:ascii="黑体" w:hAnsi="黑体" w:eastAsia="黑体" w:cs="黑体"/>
          <w:bCs/>
          <w:sz w:val="32"/>
          <w:szCs w:val="32"/>
          <w:lang w:val="en" w:eastAsia="zh-CN"/>
        </w:rPr>
      </w:pPr>
      <w:bookmarkStart w:id="0" w:name="_Hlk51184985"/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bCs/>
          <w:sz w:val="32"/>
          <w:szCs w:val="32"/>
          <w:lang w:val="en" w:eastAsia="zh-CN"/>
        </w:rPr>
        <w:t>1</w:t>
      </w:r>
    </w:p>
    <w:p>
      <w:pPr>
        <w:adjustRightInd w:val="0"/>
        <w:snapToGrid w:val="0"/>
        <w:spacing w:line="560" w:lineRule="exact"/>
        <w:jc w:val="left"/>
        <w:rPr>
          <w:rFonts w:hint="default" w:ascii="黑体" w:hAnsi="黑体" w:eastAsia="黑体" w:cs="黑体"/>
          <w:bCs/>
          <w:sz w:val="44"/>
          <w:szCs w:val="44"/>
          <w:lang w:val="en" w:eastAsia="zh-CN"/>
        </w:r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文化和旅游部技术创新中心建设</w:t>
      </w:r>
      <w:bookmarkStart w:id="1" w:name="_Hlk89265916"/>
      <w:r>
        <w:rPr>
          <w:rFonts w:hint="eastAsia" w:ascii="方正小标宋简体" w:hAnsi="宋体" w:eastAsia="方正小标宋简体"/>
          <w:bCs/>
          <w:sz w:val="44"/>
          <w:szCs w:val="44"/>
        </w:rPr>
        <w:t>运行</w:t>
      </w:r>
      <w:bookmarkEnd w:id="1"/>
      <w:r>
        <w:rPr>
          <w:rFonts w:hint="eastAsia" w:ascii="方正小标宋简体" w:hAnsi="宋体" w:eastAsia="方正小标宋简体"/>
          <w:bCs/>
          <w:sz w:val="44"/>
          <w:szCs w:val="44"/>
        </w:rPr>
        <w:t>管理</w:t>
      </w:r>
      <w:r>
        <w:rPr>
          <w:rFonts w:hint="eastAsia" w:ascii="方正小标宋简体" w:hAnsi="宋体" w:eastAsia="方正小标宋简体"/>
          <w:bCs/>
          <w:sz w:val="44"/>
          <w:szCs w:val="44"/>
        </w:rPr>
        <w:br w:type="textWrapping"/>
      </w:r>
      <w:r>
        <w:rPr>
          <w:rFonts w:hint="eastAsia" w:ascii="方正小标宋简体" w:hAnsi="宋体" w:eastAsia="方正小标宋简体"/>
          <w:bCs/>
          <w:sz w:val="44"/>
          <w:szCs w:val="44"/>
        </w:rPr>
        <w:t>工作规则</w:t>
      </w:r>
      <w:bookmarkEnd w:id="0"/>
      <w:r>
        <w:rPr>
          <w:rFonts w:hint="eastAsia" w:ascii="方正小标宋简体" w:hAnsi="宋体" w:eastAsia="方正小标宋简体"/>
          <w:bCs/>
          <w:sz w:val="44"/>
          <w:szCs w:val="44"/>
        </w:rPr>
        <w:t>（试行）</w:t>
      </w:r>
    </w:p>
    <w:p>
      <w:pPr>
        <w:adjustRightInd w:val="0"/>
        <w:snapToGrid w:val="0"/>
        <w:spacing w:line="560" w:lineRule="exact"/>
        <w:jc w:val="both"/>
        <w:rPr>
          <w:rFonts w:ascii="仿宋" w:hAnsi="仿宋" w:eastAsia="仿宋" w:cs="Times New Roman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ascii="黑体" w:hAnsi="黑体" w:eastAsia="黑体" w:cs="Times New Roman"/>
          <w:bCs/>
          <w:sz w:val="32"/>
          <w:szCs w:val="32"/>
        </w:rPr>
        <w:t>第一章  总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 xml:space="preserve">  </w:t>
      </w:r>
      <w:r>
        <w:rPr>
          <w:rFonts w:ascii="黑体" w:hAnsi="黑体" w:eastAsia="黑体" w:cs="Times New Roman"/>
          <w:bCs/>
          <w:sz w:val="32"/>
          <w:szCs w:val="32"/>
        </w:rPr>
        <w:t>则</w:t>
      </w:r>
    </w:p>
    <w:p>
      <w:pPr>
        <w:adjustRightInd w:val="0"/>
        <w:snapToGrid/>
        <w:spacing w:line="560" w:lineRule="exact"/>
        <w:ind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第一条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为</w:t>
      </w:r>
      <w:r>
        <w:rPr>
          <w:rFonts w:hint="eastAsia" w:ascii="仿宋_GB2312" w:hAnsi="仿宋" w:eastAsia="仿宋_GB2312"/>
          <w:sz w:val="32"/>
          <w:szCs w:val="32"/>
        </w:rPr>
        <w:t>加快实施创新驱动发展战略，推动科技创新和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行</w:t>
      </w:r>
      <w:r>
        <w:rPr>
          <w:rFonts w:hint="eastAsia" w:ascii="仿宋_GB2312" w:hAnsi="仿宋" w:eastAsia="仿宋_GB2312"/>
          <w:sz w:val="32"/>
          <w:szCs w:val="32"/>
        </w:rPr>
        <w:t>业创新深度融合，助力发展新质生产力，加强创新资源优化配置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bCs/>
          <w:sz w:val="32"/>
          <w:szCs w:val="32"/>
        </w:rPr>
        <w:t>支撑文化和旅游行业高质量发展</w:t>
      </w:r>
      <w:r>
        <w:rPr>
          <w:rFonts w:hint="eastAsia" w:ascii="仿宋_GB2312" w:hAnsi="Calibri" w:eastAsia="仿宋_GB2312"/>
          <w:sz w:val="32"/>
          <w:szCs w:val="32"/>
        </w:rPr>
        <w:t>，</w:t>
      </w:r>
      <w:r>
        <w:rPr>
          <w:rFonts w:ascii="仿宋_GB2312" w:hAnsi="仿宋" w:eastAsia="仿宋_GB2312" w:cs="Times New Roman"/>
          <w:bCs/>
          <w:sz w:val="32"/>
          <w:szCs w:val="32"/>
        </w:rPr>
        <w:t>规范文化和旅游部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（以下简称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“</w:t>
      </w:r>
      <w:r>
        <w:rPr>
          <w:rFonts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”</w:t>
      </w:r>
      <w:r>
        <w:rPr>
          <w:rFonts w:ascii="仿宋_GB2312" w:hAnsi="仿宋" w:eastAsia="仿宋_GB2312" w:cs="Times New Roman"/>
          <w:bCs/>
          <w:sz w:val="32"/>
          <w:szCs w:val="32"/>
        </w:rPr>
        <w:t>）的建设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和运行</w:t>
      </w:r>
      <w:r>
        <w:rPr>
          <w:rFonts w:ascii="仿宋_GB2312" w:hAnsi="仿宋" w:eastAsia="仿宋_GB2312" w:cs="Times New Roman"/>
          <w:bCs/>
          <w:sz w:val="32"/>
          <w:szCs w:val="32"/>
        </w:rPr>
        <w:t>，制定本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规则</w:t>
      </w:r>
      <w:r>
        <w:rPr>
          <w:rFonts w:ascii="仿宋_GB2312" w:hAnsi="仿宋" w:eastAsia="仿宋_GB2312" w:cs="Times New Roman"/>
          <w:bCs/>
          <w:sz w:val="32"/>
          <w:szCs w:val="32"/>
        </w:rPr>
        <w:t>。</w:t>
      </w:r>
    </w:p>
    <w:p>
      <w:pPr>
        <w:adjustRightInd w:val="0"/>
        <w:snapToGrid/>
        <w:spacing w:line="560" w:lineRule="exact"/>
        <w:ind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第二条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技术创新中心属于文化和旅游领域技术创新与成果转化类科技创新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平台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是建设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文化和旅游领域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国家技术创新中心的培育基地，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定位于</w:t>
      </w:r>
      <w:r>
        <w:rPr>
          <w:rFonts w:hint="eastAsia" w:ascii="仿宋_GB2312" w:eastAsia="仿宋_GB2312"/>
          <w:bCs/>
          <w:sz w:val="32"/>
          <w:szCs w:val="32"/>
        </w:rPr>
        <w:t>促进基础研究成果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工程应用</w:t>
      </w:r>
      <w:r>
        <w:rPr>
          <w:rFonts w:hint="eastAsia" w:ascii="仿宋_GB2312" w:eastAsia="仿宋_GB2312"/>
          <w:bCs/>
          <w:sz w:val="32"/>
          <w:szCs w:val="32"/>
        </w:rPr>
        <w:t>，实现从科技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到产业</w:t>
      </w:r>
      <w:r>
        <w:rPr>
          <w:rFonts w:hint="eastAsia" w:ascii="仿宋_GB2312" w:eastAsia="仿宋_GB2312"/>
          <w:bCs/>
          <w:sz w:val="32"/>
          <w:szCs w:val="32"/>
        </w:rPr>
        <w:t>的转化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。</w:t>
      </w:r>
    </w:p>
    <w:p>
      <w:pPr>
        <w:adjustRightInd w:val="0"/>
        <w:snapToGrid/>
        <w:spacing w:line="560" w:lineRule="exact"/>
        <w:ind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第三条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技术创新中心的主要任务</w:t>
      </w:r>
      <w:r>
        <w:rPr>
          <w:rFonts w:ascii="仿宋_GB2312" w:hAnsi="仿宋" w:eastAsia="仿宋_GB2312" w:cs="Times New Roman"/>
          <w:bCs/>
          <w:sz w:val="32"/>
          <w:szCs w:val="32"/>
        </w:rPr>
        <w:t>是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落实文化和旅游科技创新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工作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部署，</w:t>
      </w:r>
      <w:r>
        <w:rPr>
          <w:rFonts w:hint="eastAsia" w:ascii="仿宋_GB2312" w:eastAsia="仿宋_GB2312"/>
          <w:bCs/>
          <w:sz w:val="32"/>
          <w:szCs w:val="32"/>
        </w:rPr>
        <w:t>以关键技术研发为核心，为产业发展提供源头技术供给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，为各类企业提供技术创新与成果转化服务，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促进</w:t>
      </w:r>
      <w:r>
        <w:rPr>
          <w:rFonts w:hint="eastAsia" w:ascii="仿宋_GB2312" w:eastAsia="仿宋_GB2312"/>
          <w:bCs/>
          <w:sz w:val="32"/>
          <w:szCs w:val="32"/>
        </w:rPr>
        <w:t>产学研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用</w:t>
      </w:r>
      <w:r>
        <w:rPr>
          <w:rFonts w:hint="eastAsia" w:ascii="仿宋_GB2312" w:eastAsia="仿宋_GB2312"/>
          <w:bCs/>
          <w:sz w:val="32"/>
          <w:szCs w:val="32"/>
        </w:rPr>
        <w:t>协同，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提升文化和旅游领域创新能力与核心竞争力。</w:t>
      </w:r>
    </w:p>
    <w:p>
      <w:pPr>
        <w:adjustRightInd w:val="0"/>
        <w:snapToGrid/>
        <w:spacing w:line="560" w:lineRule="exact"/>
        <w:ind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第四条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hint="eastAsia" w:ascii="仿宋_GB2312" w:eastAsia="仿宋_GB2312"/>
          <w:bCs/>
          <w:sz w:val="32"/>
          <w:szCs w:val="32"/>
        </w:rPr>
        <w:t>的建设遵循聚焦关键、分类指导、开放共享、协同创新的原则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，实行科研与市场协同衔接的运行机制，探索不同类型的组建模式，明晰企业、高校、科研院所和政府等主体的权责。</w:t>
      </w:r>
    </w:p>
    <w:p>
      <w:pPr>
        <w:adjustRightInd w:val="0"/>
        <w:snapToGrid/>
        <w:spacing w:line="560" w:lineRule="exact"/>
        <w:ind w:firstLine="640" w:firstLineChars="200"/>
        <w:rPr>
          <w:rFonts w:hint="eastAsia" w:ascii="仿宋_GB2312" w:hAnsi="Arial" w:eastAsia="仿宋_GB2312" w:cs="Arial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第五条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仿宋_GB2312" w:hAnsi="Arial" w:eastAsia="仿宋_GB2312" w:cs="Arial"/>
          <w:bCs/>
          <w:sz w:val="32"/>
          <w:szCs w:val="32"/>
          <w:shd w:val="clear" w:color="auto" w:fill="FFFFFF"/>
        </w:rPr>
        <w:t>文化和旅游部组织协调相关资源支持技术创新中心发展，优先选择具备条件的技术创新中心承担相关科研任务，参与国家和行业标准制定及决策支撑等工作。对运行良好、成绩显著、效能突出的技术创新中心，优先</w:t>
      </w:r>
      <w:r>
        <w:rPr>
          <w:rFonts w:hint="eastAsia" w:ascii="仿宋_GB2312" w:hAnsi="Arial" w:eastAsia="仿宋_GB2312" w:cs="Arial"/>
          <w:bCs/>
          <w:sz w:val="32"/>
          <w:szCs w:val="32"/>
          <w:shd w:val="clear" w:color="auto" w:fill="FFFFFF"/>
          <w:lang w:eastAsia="zh-CN"/>
        </w:rPr>
        <w:t>参与文化和旅游领域</w:t>
      </w:r>
      <w:r>
        <w:rPr>
          <w:rFonts w:hint="eastAsia" w:ascii="仿宋_GB2312" w:hAnsi="Arial" w:eastAsia="仿宋_GB2312" w:cs="Arial"/>
          <w:bCs/>
          <w:sz w:val="32"/>
          <w:szCs w:val="32"/>
          <w:shd w:val="clear" w:color="auto" w:fill="FFFFFF"/>
        </w:rPr>
        <w:t>国家技术创新中心</w:t>
      </w:r>
      <w:r>
        <w:rPr>
          <w:rFonts w:hint="eastAsia" w:ascii="仿宋_GB2312" w:hAnsi="Arial" w:eastAsia="仿宋_GB2312" w:cs="Arial"/>
          <w:bCs/>
          <w:sz w:val="32"/>
          <w:szCs w:val="32"/>
          <w:shd w:val="clear" w:color="auto" w:fill="FFFFFF"/>
          <w:lang w:eastAsia="zh-CN"/>
        </w:rPr>
        <w:t>组建相关工作，推荐申报</w:t>
      </w:r>
      <w:r>
        <w:rPr>
          <w:rFonts w:hint="eastAsia" w:ascii="仿宋_GB2312" w:hAnsi="Arial" w:eastAsia="仿宋_GB2312" w:cs="Arial"/>
          <w:bCs/>
          <w:sz w:val="32"/>
          <w:szCs w:val="32"/>
          <w:shd w:val="clear" w:color="auto" w:fill="FFFFFF"/>
        </w:rPr>
        <w:t>国家科技计划项目、有关产业支持项目和人才计划等。</w:t>
      </w:r>
    </w:p>
    <w:p>
      <w:pPr>
        <w:adjustRightInd w:val="0"/>
        <w:snapToGrid/>
        <w:spacing w:line="560" w:lineRule="exact"/>
        <w:ind w:firstLine="640" w:firstLineChars="200"/>
        <w:rPr>
          <w:rFonts w:hint="eastAsia" w:ascii="仿宋_GB2312" w:hAnsi="Arial" w:eastAsia="仿宋_GB2312" w:cs="Arial"/>
          <w:bCs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ascii="黑体" w:hAnsi="黑体" w:eastAsia="黑体" w:cs="Times New Roman"/>
          <w:bCs/>
          <w:sz w:val="32"/>
          <w:szCs w:val="32"/>
        </w:rPr>
        <w:t>第二章  管理职责</w:t>
      </w:r>
    </w:p>
    <w:p>
      <w:pPr>
        <w:adjustRightInd w:val="0"/>
        <w:snapToGrid/>
        <w:spacing w:line="560" w:lineRule="exact"/>
        <w:ind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第六条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文化和旅游部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组织推进技术创新中心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的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建设运行</w:t>
      </w:r>
      <w:r>
        <w:rPr>
          <w:rFonts w:ascii="仿宋_GB2312" w:hAnsi="仿宋" w:eastAsia="仿宋_GB2312" w:cs="Times New Roman"/>
          <w:bCs/>
          <w:sz w:val="32"/>
          <w:szCs w:val="32"/>
        </w:rPr>
        <w:t>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文化和旅游部科技主管部门负责归口管理，</w:t>
      </w:r>
      <w:r>
        <w:rPr>
          <w:rFonts w:ascii="仿宋_GB2312" w:hAnsi="仿宋" w:eastAsia="仿宋_GB2312" w:cs="Times New Roman"/>
          <w:bCs/>
          <w:sz w:val="32"/>
          <w:szCs w:val="32"/>
        </w:rPr>
        <w:t>主要职责是：</w:t>
      </w:r>
    </w:p>
    <w:p>
      <w:pPr>
        <w:pStyle w:val="5"/>
        <w:numPr>
          <w:ilvl w:val="0"/>
          <w:numId w:val="1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制定技术创新中心建设的总体规划和管理制度，提出对技术创新中心的支持政策与措施。</w:t>
      </w:r>
    </w:p>
    <w:p>
      <w:pPr>
        <w:pStyle w:val="5"/>
        <w:numPr>
          <w:ilvl w:val="0"/>
          <w:numId w:val="1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指导技术创新中心的建设和运行，组织开展技术创新中心的验收、评估和检查等工作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，核准技术创新中心重大事项变更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。</w:t>
      </w:r>
    </w:p>
    <w:p>
      <w:pPr>
        <w:pStyle w:val="5"/>
        <w:numPr>
          <w:ilvl w:val="0"/>
          <w:numId w:val="1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统筹解决技术创新中心建设与发展中的重大问题。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</w:t>
      </w:r>
      <w:r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" w:eastAsia="zh-CN" w:bidi="ar"/>
        </w:rPr>
        <w:t>省、自治区、直辖市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文化和旅游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厅（局），</w:t>
      </w:r>
      <w:r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" w:eastAsia="zh-CN" w:bidi="ar"/>
        </w:rPr>
        <w:t>新疆生产建设兵团文化体育广电和旅游局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（下称“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省级文化和旅游行政部门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”）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负责本地区技术创新中心的</w:t>
      </w:r>
      <w:r>
        <w:rPr>
          <w:rFonts w:hint="eastAsia" w:ascii="仿宋_GB2312" w:hAnsi="仿宋" w:eastAsia="仿宋_GB2312" w:cs="Times New Roman"/>
          <w:bCs/>
          <w:sz w:val="32"/>
          <w:szCs w:val="32"/>
          <w:highlight w:val="none"/>
          <w:lang w:eastAsia="zh-CN"/>
        </w:rPr>
        <w:t>属地管理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，主要职责是：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（一）组织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技术创新中心申报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与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推荐，对技术创新中心的建设和运行进行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日常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监督管理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（二）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协助组织技术创新中心的验收、</w:t>
      </w:r>
      <w:r>
        <w:rPr>
          <w:rFonts w:ascii="仿宋_GB2312" w:hAnsi="仿宋" w:eastAsia="仿宋_GB2312" w:cs="Times New Roman"/>
          <w:bCs/>
          <w:sz w:val="32"/>
          <w:szCs w:val="32"/>
        </w:rPr>
        <w:t>评估和检查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审查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技术创新中心的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重大事项变更。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（三）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将技术创新中心的发展纳入本部门的发展规划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，协调内外资源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支持技术创新中心建设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运行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建设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运行依托</w:t>
      </w:r>
      <w:r>
        <w:rPr>
          <w:rFonts w:ascii="仿宋_GB2312" w:hAnsi="仿宋" w:eastAsia="仿宋_GB2312" w:cs="Times New Roman"/>
          <w:bCs/>
          <w:sz w:val="32"/>
          <w:szCs w:val="32"/>
        </w:rPr>
        <w:t>单位（以下简称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“</w:t>
      </w:r>
      <w:r>
        <w:rPr>
          <w:rFonts w:ascii="仿宋_GB2312" w:hAnsi="仿宋" w:eastAsia="仿宋_GB2312" w:cs="Times New Roman"/>
          <w:bCs/>
          <w:sz w:val="32"/>
          <w:szCs w:val="32"/>
        </w:rPr>
        <w:t>依托单位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”</w:t>
      </w:r>
      <w:r>
        <w:rPr>
          <w:rFonts w:ascii="仿宋_GB2312" w:hAnsi="仿宋" w:eastAsia="仿宋_GB2312" w:cs="Times New Roman"/>
          <w:bCs/>
          <w:sz w:val="32"/>
          <w:szCs w:val="32"/>
        </w:rPr>
        <w:t>）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的</w:t>
      </w:r>
      <w:r>
        <w:rPr>
          <w:rFonts w:ascii="仿宋_GB2312" w:hAnsi="仿宋" w:eastAsia="仿宋_GB2312" w:cs="Times New Roman"/>
          <w:bCs/>
          <w:sz w:val="32"/>
          <w:szCs w:val="32"/>
        </w:rPr>
        <w:t>主要职责是：</w:t>
      </w:r>
    </w:p>
    <w:p>
      <w:pPr>
        <w:pStyle w:val="5"/>
        <w:numPr>
          <w:ilvl w:val="0"/>
          <w:numId w:val="2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确定技术创新中心发展目标、任务和研究重点，建立健全工作机制，制定章程和内部管理制度。</w:t>
      </w:r>
    </w:p>
    <w:p>
      <w:pPr>
        <w:pStyle w:val="5"/>
        <w:numPr>
          <w:ilvl w:val="0"/>
          <w:numId w:val="2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负责技术创新中心的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建设、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运行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管理，提供相应的机制、人员、资金、场地、设施、技术等方面支持保障，协调解决运行中的有关问题。</w:t>
      </w:r>
    </w:p>
    <w:p>
      <w:pPr>
        <w:pStyle w:val="5"/>
        <w:numPr>
          <w:ilvl w:val="0"/>
          <w:numId w:val="2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聘任技术创新中心主任、副主任，组建专家委员会，聘任专家委员会主任委员、副主任委员和委员。</w:t>
      </w:r>
    </w:p>
    <w:p>
      <w:pPr>
        <w:pStyle w:val="5"/>
        <w:numPr>
          <w:ilvl w:val="0"/>
          <w:numId w:val="2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对技术创新中心进行年度考核，配合有关部门做好验收、评估和检查等工作。</w:t>
      </w:r>
    </w:p>
    <w:p>
      <w:pPr>
        <w:pStyle w:val="5"/>
        <w:numPr>
          <w:ilvl w:val="0"/>
          <w:numId w:val="0"/>
        </w:numPr>
        <w:adjustRightInd w:val="0"/>
        <w:snapToGrid w:val="0"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第九条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的主要职责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是</w:t>
      </w:r>
      <w:r>
        <w:rPr>
          <w:rFonts w:ascii="仿宋_GB2312" w:hAnsi="仿宋" w:eastAsia="仿宋_GB2312" w:cs="Times New Roman"/>
          <w:bCs/>
          <w:sz w:val="32"/>
          <w:szCs w:val="32"/>
        </w:rPr>
        <w:t>：</w:t>
      </w:r>
    </w:p>
    <w:p>
      <w:pPr>
        <w:pStyle w:val="5"/>
        <w:numPr>
          <w:ilvl w:val="0"/>
          <w:numId w:val="3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根据文化和旅游行业需要，开展本领域应用研究和成果转化方面的</w:t>
      </w:r>
      <w:bookmarkStart w:id="2" w:name="OLE_LINK3"/>
      <w:bookmarkStart w:id="3" w:name="OLE_LINK2"/>
      <w:r>
        <w:rPr>
          <w:rFonts w:hint="eastAsia" w:ascii="仿宋_GB2312" w:hAnsi="仿宋" w:eastAsia="仿宋_GB2312" w:cs="Times New Roman"/>
          <w:bCs/>
          <w:sz w:val="32"/>
          <w:szCs w:val="32"/>
        </w:rPr>
        <w:t>关键共性技术攻关</w:t>
      </w:r>
      <w:bookmarkEnd w:id="2"/>
      <w:bookmarkEnd w:id="3"/>
      <w:r>
        <w:rPr>
          <w:rFonts w:hint="eastAsia" w:ascii="仿宋_GB2312" w:hAnsi="仿宋" w:eastAsia="仿宋_GB2312" w:cs="Times New Roman"/>
          <w:bCs/>
          <w:sz w:val="32"/>
          <w:szCs w:val="32"/>
        </w:rPr>
        <w:t>，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实现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科研成果系统化、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产业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化和工程化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应用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。</w:t>
      </w:r>
    </w:p>
    <w:p>
      <w:pPr>
        <w:pStyle w:val="5"/>
        <w:numPr>
          <w:ilvl w:val="0"/>
          <w:numId w:val="3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hint="eastAsia" w:ascii="仿宋_GB2312" w:hAnsi="仿宋" w:eastAsia="仿宋_GB2312" w:cs="Times New Roman"/>
          <w:bCs/>
          <w:sz w:val="32"/>
          <w:szCs w:val="32"/>
        </w:rPr>
      </w:pPr>
      <w:r>
        <w:rPr>
          <w:rFonts w:ascii="仿宋_GB2312" w:hAnsi="仿宋" w:eastAsia="仿宋_GB2312" w:cs="Times New Roman"/>
          <w:bCs/>
          <w:sz w:val="32"/>
          <w:szCs w:val="32"/>
        </w:rPr>
        <w:t>开展市场化技术创新服务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</w:t>
      </w:r>
      <w:r>
        <w:rPr>
          <w:rFonts w:ascii="仿宋_GB2312" w:hAnsi="仿宋" w:eastAsia="仿宋_GB2312" w:cs="Times New Roman"/>
          <w:bCs/>
          <w:sz w:val="32"/>
          <w:szCs w:val="32"/>
        </w:rPr>
        <w:t>为企业提供</w:t>
      </w:r>
      <w:r>
        <w:rPr>
          <w:rFonts w:hint="eastAsia" w:ascii="仿宋_GB2312" w:hAnsi="仿宋" w:eastAsia="仿宋_GB2312" w:cs="Times New Roman"/>
          <w:bCs/>
          <w:sz w:val="32"/>
          <w:szCs w:val="32"/>
          <w:highlight w:val="none"/>
        </w:rPr>
        <w:t>按需定制的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技术解决方案。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56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firstLine="640" w:firstLineChars="200"/>
        <w:textAlignment w:val="auto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参与国家标准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行业标准和国际标准的研究制定。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56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firstLine="640" w:firstLineChars="200"/>
        <w:textAlignment w:val="auto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构建科学合理的科技创新人才队伍，吸引集聚专业化、国际化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的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高层次创新人才，充分调动各类人员的积极性。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56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firstLine="640" w:firstLineChars="200"/>
        <w:textAlignment w:val="auto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筹措建设运行经费，按规定管理和使用经费。</w:t>
      </w:r>
    </w:p>
    <w:p>
      <w:pPr>
        <w:pStyle w:val="5"/>
        <w:numPr>
          <w:ilvl w:val="0"/>
          <w:numId w:val="3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ascii="仿宋_GB2312" w:hAnsi="仿宋" w:eastAsia="仿宋_GB2312" w:cs="Times New Roman"/>
          <w:bCs/>
          <w:sz w:val="32"/>
          <w:szCs w:val="32"/>
        </w:rPr>
        <w:t>加强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与</w:t>
      </w:r>
      <w:r>
        <w:rPr>
          <w:rFonts w:ascii="仿宋_GB2312" w:hAnsi="仿宋" w:eastAsia="仿宋_GB2312" w:cs="Times New Roman"/>
          <w:bCs/>
          <w:sz w:val="32"/>
          <w:szCs w:val="32"/>
        </w:rPr>
        <w:t>其他类型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科技创新</w:t>
      </w:r>
      <w:r>
        <w:rPr>
          <w:rFonts w:ascii="仿宋_GB2312" w:hAnsi="仿宋" w:eastAsia="仿宋_GB2312" w:cs="Times New Roman"/>
          <w:bCs/>
          <w:sz w:val="32"/>
          <w:szCs w:val="32"/>
        </w:rPr>
        <w:t>基地的协同联动，开展国内外科技合作与交流。</w:t>
      </w:r>
    </w:p>
    <w:p>
      <w:pPr>
        <w:pStyle w:val="5"/>
        <w:numPr>
          <w:ilvl w:val="0"/>
          <w:numId w:val="3"/>
        </w:numPr>
        <w:tabs>
          <w:tab w:val="left" w:pos="1560"/>
        </w:tabs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按要求进行重大事项报告或报批，完成年度报告，配合开展评估工作。</w:t>
      </w: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ascii="黑体" w:hAnsi="黑体" w:eastAsia="黑体" w:cs="Times New Roman"/>
          <w:bCs/>
          <w:sz w:val="32"/>
          <w:szCs w:val="32"/>
        </w:rPr>
        <w:t>第三章  申</w:t>
      </w:r>
      <w:r>
        <w:rPr>
          <w:rFonts w:hint="eastAsia" w:ascii="黑体" w:hAnsi="黑体" w:eastAsia="黑体" w:cs="Times New Roman"/>
          <w:bCs/>
          <w:sz w:val="32"/>
          <w:szCs w:val="32"/>
        </w:rPr>
        <w:t>报</w:t>
      </w:r>
      <w:r>
        <w:rPr>
          <w:rFonts w:ascii="黑体" w:hAnsi="黑体" w:eastAsia="黑体" w:cs="Times New Roman"/>
          <w:bCs/>
          <w:sz w:val="32"/>
          <w:szCs w:val="32"/>
        </w:rPr>
        <w:t>与</w:t>
      </w:r>
      <w:r>
        <w:rPr>
          <w:rFonts w:hint="eastAsia" w:ascii="黑体" w:hAnsi="黑体" w:eastAsia="黑体" w:cs="Times New Roman"/>
          <w:bCs/>
          <w:sz w:val="32"/>
          <w:szCs w:val="32"/>
        </w:rPr>
        <w:t>建设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第十条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申报技术创新中心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应具备的基本条件：</w:t>
      </w:r>
    </w:p>
    <w:p>
      <w:pPr>
        <w:pStyle w:val="5"/>
        <w:numPr>
          <w:ilvl w:val="0"/>
          <w:numId w:val="4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ascii="仿宋_GB2312" w:hAnsi="仿宋" w:eastAsia="仿宋_GB2312" w:cs="Times New Roman"/>
          <w:bCs/>
          <w:sz w:val="32"/>
          <w:szCs w:val="32"/>
        </w:rPr>
        <w:t>依托单位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为</w:t>
      </w:r>
      <w:r>
        <w:rPr>
          <w:rFonts w:ascii="仿宋_GB2312" w:hAnsi="仿宋" w:eastAsia="仿宋_GB2312" w:cs="Times New Roman"/>
          <w:bCs/>
          <w:sz w:val="32"/>
          <w:szCs w:val="32"/>
        </w:rPr>
        <w:t>中国大陆境内注册5年以上、具有独立法人资格的企业、高校、科研院所或具有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</w:t>
      </w:r>
      <w:r>
        <w:rPr>
          <w:rFonts w:ascii="仿宋_GB2312" w:hAnsi="仿宋" w:eastAsia="仿宋_GB2312" w:cs="Times New Roman"/>
          <w:bCs/>
          <w:sz w:val="32"/>
          <w:szCs w:val="32"/>
        </w:rPr>
        <w:t>创新能力的其他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单位。</w:t>
      </w:r>
    </w:p>
    <w:p>
      <w:pPr>
        <w:pStyle w:val="5"/>
        <w:numPr>
          <w:ilvl w:val="0"/>
          <w:numId w:val="4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依托单位在本领域技术创新方面优势明显，拥有坚实的关键共性技术研究基础，较强的应用示范、技术服务、成果转移转化能力，丰富的科技成果转化经验和成功案例，在行业内影响力大的高水平技术带头人，以及人员结构配置合理、研发能力强的技术团队。</w:t>
      </w:r>
    </w:p>
    <w:p>
      <w:pPr>
        <w:pStyle w:val="5"/>
        <w:numPr>
          <w:ilvl w:val="0"/>
          <w:numId w:val="4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依托单位</w:t>
      </w:r>
      <w:r>
        <w:rPr>
          <w:rFonts w:ascii="仿宋_GB2312" w:hAnsi="仿宋" w:eastAsia="仿宋_GB2312" w:cs="Times New Roman"/>
          <w:bCs/>
          <w:sz w:val="32"/>
          <w:szCs w:val="32"/>
        </w:rPr>
        <w:t>管理制度健全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、运行机制合理，具备较强的经济实力、优良的科研资产及</w:t>
      </w:r>
      <w:r>
        <w:rPr>
          <w:rFonts w:ascii="仿宋_GB2312" w:hAnsi="仿宋" w:eastAsia="仿宋_GB2312" w:cs="Times New Roman"/>
          <w:bCs/>
          <w:sz w:val="32"/>
          <w:szCs w:val="32"/>
        </w:rPr>
        <w:t>筹措资金的信誉和能力，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近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年无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连续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亏损，无重大法律纠纷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和负面舆情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</w:t>
      </w:r>
      <w:r>
        <w:rPr>
          <w:rFonts w:ascii="仿宋_GB2312" w:hAnsi="仿宋" w:eastAsia="仿宋_GB2312" w:cs="Times New Roman"/>
          <w:bCs/>
          <w:sz w:val="32"/>
          <w:szCs w:val="32"/>
        </w:rPr>
        <w:t>能为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技术创新中心建设和运行提供必要的资金、良好的研发条件和产业化装备、基地等保障条件。</w:t>
      </w:r>
    </w:p>
    <w:p>
      <w:pPr>
        <w:pStyle w:val="5"/>
        <w:numPr>
          <w:ilvl w:val="0"/>
          <w:numId w:val="4"/>
        </w:numPr>
        <w:adjustRightInd w:val="0"/>
        <w:snapToGrid/>
        <w:spacing w:line="560" w:lineRule="exact"/>
        <w:ind w:left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技术创新中心建设符合</w:t>
      </w:r>
      <w:r>
        <w:rPr>
          <w:rFonts w:hint="eastAsia" w:ascii="仿宋_GB2312" w:hAnsi="仿宋" w:eastAsia="仿宋_GB2312" w:cs="Times New Roman"/>
          <w:sz w:val="32"/>
          <w:szCs w:val="32"/>
        </w:rPr>
        <w:t>国家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文化和旅游发展战略及科技创新工作总体布局，</w:t>
      </w:r>
      <w:r>
        <w:rPr>
          <w:rFonts w:hint="eastAsia" w:ascii="仿宋_GB2312" w:hAnsi="仿宋" w:eastAsia="仿宋_GB2312" w:cs="Times New Roman"/>
          <w:sz w:val="32"/>
          <w:szCs w:val="32"/>
        </w:rPr>
        <w:t>聚焦关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键技术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创新，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适应行业发展趋势和市场化需求，在依托单位组织下建设“产学研用”相结合协同合作的技术创新平台。</w:t>
      </w:r>
    </w:p>
    <w:p>
      <w:pPr>
        <w:pStyle w:val="5"/>
        <w:numPr>
          <w:ilvl w:val="0"/>
          <w:numId w:val="4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围绕产业链梳理“长板”技术和“卡脖子”技术，凝练提出明确的技术创新目标和攻关任务，突出需要解决的产业化中的重大关键技术问题，细化建设任务的短期和中长期目标。</w:t>
      </w:r>
    </w:p>
    <w:p>
      <w:pPr>
        <w:pStyle w:val="5"/>
        <w:numPr>
          <w:ilvl w:val="0"/>
          <w:numId w:val="0"/>
        </w:numPr>
        <w:adjustRightInd w:val="0"/>
        <w:snapToGrid w:val="0"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第十一条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技术创新中心认定程序：</w:t>
      </w:r>
    </w:p>
    <w:p>
      <w:pPr>
        <w:pStyle w:val="5"/>
        <w:numPr>
          <w:ilvl w:val="2"/>
          <w:numId w:val="5"/>
        </w:numPr>
        <w:tabs>
          <w:tab w:val="left" w:pos="1560"/>
        </w:tabs>
        <w:adjustRightInd w:val="0"/>
        <w:snapToGrid w:val="0"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申报：</w:t>
      </w:r>
      <w:r>
        <w:rPr>
          <w:rFonts w:ascii="仿宋_GB2312" w:hAnsi="仿宋" w:eastAsia="仿宋_GB2312" w:cs="Times New Roman"/>
          <w:bCs/>
          <w:sz w:val="32"/>
          <w:szCs w:val="32"/>
        </w:rPr>
        <w:t>具备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申报技术创新中心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基本条件和要求的依托单位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</w:t>
      </w:r>
      <w:r>
        <w:rPr>
          <w:rFonts w:ascii="仿宋_GB2312" w:hAnsi="仿宋" w:eastAsia="仿宋_GB2312" w:cs="Times New Roman"/>
          <w:bCs/>
          <w:sz w:val="32"/>
          <w:szCs w:val="32"/>
        </w:rPr>
        <w:t>可提出申请并填写《文化和旅游部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申报书》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（以下简称《申报书》）</w:t>
      </w:r>
      <w:r>
        <w:rPr>
          <w:rFonts w:ascii="仿宋_GB2312" w:hAnsi="仿宋" w:eastAsia="仿宋_GB2312" w:cs="Times New Roman"/>
          <w:bCs/>
          <w:sz w:val="32"/>
          <w:szCs w:val="32"/>
        </w:rPr>
        <w:t>，</w:t>
      </w:r>
      <w:bookmarkStart w:id="4" w:name="OLE_LINK1"/>
      <w:r>
        <w:rPr>
          <w:rFonts w:hint="eastAsia" w:ascii="仿宋_GB2312" w:hAnsi="仿宋" w:eastAsia="仿宋_GB2312" w:cs="Times New Roman"/>
          <w:bCs/>
          <w:sz w:val="32"/>
          <w:szCs w:val="32"/>
        </w:rPr>
        <w:t>经省级文化和旅游行政部门推荐</w:t>
      </w:r>
      <w:r>
        <w:rPr>
          <w:rFonts w:ascii="仿宋_GB2312" w:hAnsi="仿宋" w:eastAsia="仿宋_GB2312" w:cs="Times New Roman"/>
          <w:bCs/>
          <w:sz w:val="32"/>
          <w:szCs w:val="32"/>
        </w:rPr>
        <w:t>向文化和旅游部申报</w:t>
      </w:r>
      <w:bookmarkEnd w:id="4"/>
      <w:r>
        <w:rPr>
          <w:rFonts w:ascii="仿宋_GB2312" w:hAnsi="仿宋" w:eastAsia="仿宋_GB2312" w:cs="Times New Roman"/>
          <w:bCs/>
          <w:sz w:val="32"/>
          <w:szCs w:val="32"/>
        </w:rPr>
        <w:t>。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文化和旅游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部机关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司局可推荐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其业务领域直接相关的创新中心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" w:eastAsia="zh-CN"/>
        </w:rPr>
        <w:t>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符合条件的部直属单位可直接申报。</w:t>
      </w:r>
    </w:p>
    <w:p>
      <w:pPr>
        <w:pStyle w:val="5"/>
        <w:numPr>
          <w:ilvl w:val="2"/>
          <w:numId w:val="5"/>
        </w:numPr>
        <w:tabs>
          <w:tab w:val="left" w:pos="1560"/>
        </w:tabs>
        <w:adjustRightInd w:val="0"/>
        <w:snapToGrid w:val="0"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审查并确定名单：</w:t>
      </w:r>
      <w:r>
        <w:rPr>
          <w:rFonts w:ascii="仿宋_GB2312" w:hAnsi="仿宋" w:eastAsia="仿宋_GB2312" w:cs="Times New Roman"/>
          <w:bCs/>
          <w:sz w:val="32"/>
          <w:szCs w:val="32"/>
        </w:rPr>
        <w:t>文化和旅游部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对申报单位进行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审查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，分为合法性审查、材料评审、现场实勘和综合</w:t>
      </w:r>
      <w:r>
        <w:rPr>
          <w:rFonts w:hint="eastAsia" w:ascii="仿宋_GB2312" w:hAnsi="仿宋" w:eastAsia="仿宋_GB2312" w:cs="Times New Roman"/>
          <w:bCs/>
          <w:sz w:val="32"/>
          <w:szCs w:val="32"/>
          <w:highlight w:val="none"/>
        </w:rPr>
        <w:t>论证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4</w:t>
      </w:r>
      <w:r>
        <w:rPr>
          <w:rFonts w:ascii="仿宋_GB2312" w:hAnsi="仿宋" w:eastAsia="仿宋_GB2312" w:cs="Times New Roman"/>
          <w:bCs/>
          <w:sz w:val="32"/>
          <w:szCs w:val="32"/>
        </w:rPr>
        <w:t>个阶段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。审查内容包括技术</w:t>
      </w:r>
      <w:r>
        <w:rPr>
          <w:rFonts w:ascii="仿宋_GB2312" w:hAnsi="仿宋" w:eastAsia="仿宋_GB2312" w:cs="Times New Roman"/>
          <w:bCs/>
          <w:sz w:val="32"/>
          <w:szCs w:val="32"/>
        </w:rPr>
        <w:t>创新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中心</w:t>
      </w:r>
      <w:r>
        <w:rPr>
          <w:rFonts w:ascii="仿宋_GB2312" w:hAnsi="仿宋" w:eastAsia="仿宋_GB2312" w:cs="Times New Roman"/>
          <w:bCs/>
          <w:sz w:val="32"/>
          <w:szCs w:val="32"/>
        </w:rPr>
        <w:t>的功能定位、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协同创新机制、技术创新能力</w:t>
      </w:r>
      <w:r>
        <w:rPr>
          <w:rFonts w:ascii="仿宋_GB2312" w:hAnsi="仿宋" w:eastAsia="仿宋_GB2312" w:cs="Times New Roman"/>
          <w:bCs/>
          <w:sz w:val="32"/>
          <w:szCs w:val="32"/>
        </w:rPr>
        <w:t>、保障条件等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。</w:t>
      </w:r>
    </w:p>
    <w:p>
      <w:pPr>
        <w:pStyle w:val="5"/>
        <w:numPr>
          <w:ilvl w:val="0"/>
          <w:numId w:val="0"/>
        </w:numPr>
        <w:tabs>
          <w:tab w:val="left" w:pos="156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文化和旅游部</w:t>
      </w:r>
      <w:r>
        <w:rPr>
          <w:rFonts w:ascii="仿宋_GB2312" w:hAnsi="仿宋" w:eastAsia="仿宋_GB2312" w:cs="Times New Roman"/>
          <w:bCs/>
          <w:sz w:val="32"/>
          <w:szCs w:val="32"/>
        </w:rPr>
        <w:t>依据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审查结果</w:t>
      </w:r>
      <w:r>
        <w:rPr>
          <w:rFonts w:ascii="仿宋_GB2312" w:hAnsi="仿宋" w:eastAsia="仿宋_GB2312" w:cs="Times New Roman"/>
          <w:bCs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按照择优、择重、择需的原则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，经公示后确定开展技术创新中心建设的名单。</w:t>
      </w:r>
    </w:p>
    <w:p>
      <w:pPr>
        <w:pStyle w:val="5"/>
        <w:numPr>
          <w:ilvl w:val="2"/>
          <w:numId w:val="5"/>
        </w:numPr>
        <w:tabs>
          <w:tab w:val="left" w:pos="1560"/>
        </w:tabs>
        <w:adjustRightInd w:val="0"/>
        <w:snapToGrid w:val="0"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建设：依托单位应根据《申报书》中明确的方案制定建设计划任务书，经专家论证后报省级文化和旅游行政部门、文化和旅游部备案。</w:t>
      </w:r>
    </w:p>
    <w:p>
      <w:pPr>
        <w:pStyle w:val="5"/>
        <w:numPr>
          <w:ilvl w:val="0"/>
          <w:numId w:val="0"/>
        </w:numPr>
        <w:tabs>
          <w:tab w:val="left" w:pos="156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技术创新中心按照建设计划任务书开展建设，建设期不超过1年。技术创新中心建设完成后提交验收申请，依据管理关系经依托单位、省级文化和旅游行政部门审核后报文化和旅游部。不能按</w:t>
      </w:r>
      <w:r>
        <w:rPr>
          <w:rFonts w:ascii="仿宋_GB2312" w:hAnsi="仿宋" w:eastAsia="仿宋_GB2312" w:cs="Times New Roman"/>
          <w:bCs/>
          <w:sz w:val="32"/>
          <w:szCs w:val="32"/>
        </w:rPr>
        <w:t>期完成建设的，应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提</w:t>
      </w:r>
      <w:r>
        <w:rPr>
          <w:rFonts w:ascii="仿宋_GB2312" w:hAnsi="仿宋" w:eastAsia="仿宋_GB2312" w:cs="Times New Roman"/>
          <w:bCs/>
          <w:sz w:val="32"/>
          <w:szCs w:val="32"/>
        </w:rPr>
        <w:t>前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2</w:t>
      </w:r>
      <w:r>
        <w:rPr>
          <w:rFonts w:ascii="仿宋_GB2312" w:hAnsi="仿宋" w:eastAsia="仿宋_GB2312" w:cs="Times New Roman"/>
          <w:bCs/>
          <w:sz w:val="32"/>
          <w:szCs w:val="32"/>
        </w:rPr>
        <w:t>个月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申请</w:t>
      </w:r>
      <w:r>
        <w:rPr>
          <w:rFonts w:ascii="仿宋_GB2312" w:hAnsi="仿宋" w:eastAsia="仿宋_GB2312" w:cs="Times New Roman"/>
          <w:bCs/>
          <w:sz w:val="32"/>
          <w:szCs w:val="32"/>
        </w:rPr>
        <w:t>延长建设期限，并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详细</w:t>
      </w:r>
      <w:r>
        <w:rPr>
          <w:rFonts w:ascii="仿宋_GB2312" w:hAnsi="仿宋" w:eastAsia="仿宋_GB2312" w:cs="Times New Roman"/>
          <w:bCs/>
          <w:sz w:val="32"/>
          <w:szCs w:val="32"/>
        </w:rPr>
        <w:t>说明原因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延期申请仅限1次，</w:t>
      </w:r>
      <w:r>
        <w:rPr>
          <w:rFonts w:ascii="仿宋_GB2312" w:hAnsi="仿宋" w:eastAsia="仿宋_GB2312" w:cs="Times New Roman"/>
          <w:bCs/>
          <w:sz w:val="32"/>
          <w:szCs w:val="32"/>
        </w:rPr>
        <w:t>期限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不超</w:t>
      </w:r>
      <w:r>
        <w:rPr>
          <w:rFonts w:ascii="仿宋_GB2312" w:hAnsi="仿宋" w:eastAsia="仿宋_GB2312" w:cs="Times New Roman"/>
          <w:bCs/>
          <w:sz w:val="32"/>
          <w:szCs w:val="32"/>
        </w:rPr>
        <w:t>1年。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逾期不提交验收、延期申请或</w:t>
      </w:r>
      <w:r>
        <w:rPr>
          <w:rFonts w:ascii="仿宋_GB2312" w:hAnsi="仿宋" w:eastAsia="仿宋_GB2312" w:cs="Times New Roman"/>
          <w:bCs/>
          <w:sz w:val="32"/>
          <w:szCs w:val="32"/>
        </w:rPr>
        <w:t>延期后仍不能完成建设任务的，终止建设。</w:t>
      </w:r>
    </w:p>
    <w:p>
      <w:pPr>
        <w:pStyle w:val="5"/>
        <w:numPr>
          <w:ilvl w:val="2"/>
          <w:numId w:val="5"/>
        </w:numPr>
        <w:tabs>
          <w:tab w:val="left" w:pos="1560"/>
        </w:tabs>
        <w:adjustRightInd w:val="0"/>
        <w:snapToGrid w:val="0"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验收：文化和旅游部</w:t>
      </w:r>
      <w:r>
        <w:rPr>
          <w:rFonts w:ascii="仿宋_GB2312" w:hAnsi="仿宋" w:eastAsia="仿宋_GB2312" w:cs="Times New Roman"/>
          <w:bCs/>
          <w:sz w:val="32"/>
          <w:szCs w:val="32"/>
        </w:rPr>
        <w:t>组织进行验收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</w:t>
      </w:r>
      <w:r>
        <w:rPr>
          <w:rFonts w:ascii="仿宋_GB2312" w:hAnsi="仿宋" w:eastAsia="仿宋_GB2312" w:cs="Times New Roman"/>
          <w:bCs/>
          <w:sz w:val="32"/>
          <w:szCs w:val="32"/>
        </w:rPr>
        <w:t>验收意见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分</w:t>
      </w:r>
      <w:r>
        <w:rPr>
          <w:rFonts w:ascii="仿宋_GB2312" w:hAnsi="仿宋" w:eastAsia="仿宋_GB2312" w:cs="Times New Roman"/>
          <w:bCs/>
          <w:sz w:val="32"/>
          <w:szCs w:val="32"/>
        </w:rPr>
        <w:t>为通过、整改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和</w:t>
      </w:r>
      <w:r>
        <w:rPr>
          <w:rFonts w:ascii="仿宋_GB2312" w:hAnsi="仿宋" w:eastAsia="仿宋_GB2312" w:cs="Times New Roman"/>
          <w:bCs/>
          <w:sz w:val="32"/>
          <w:szCs w:val="32"/>
        </w:rPr>
        <w:t>未通过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</w:t>
      </w:r>
      <w:r>
        <w:rPr>
          <w:rFonts w:ascii="仿宋_GB2312" w:hAnsi="仿宋" w:eastAsia="仿宋_GB2312" w:cs="Times New Roman"/>
          <w:bCs/>
          <w:sz w:val="32"/>
          <w:szCs w:val="32"/>
        </w:rPr>
        <w:t>通过的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由文化和旅游部确定为技术创新中心；</w:t>
      </w:r>
      <w:r>
        <w:rPr>
          <w:rFonts w:ascii="仿宋_GB2312" w:hAnsi="仿宋" w:eastAsia="仿宋_GB2312" w:cs="Times New Roman"/>
          <w:bCs/>
          <w:sz w:val="32"/>
          <w:szCs w:val="32"/>
        </w:rPr>
        <w:t>整改的应当在6个月内完成整改工作，再次提出验收申请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；</w:t>
      </w:r>
      <w:r>
        <w:rPr>
          <w:rFonts w:ascii="仿宋_GB2312" w:hAnsi="仿宋" w:eastAsia="仿宋_GB2312" w:cs="Times New Roman"/>
          <w:bCs/>
          <w:sz w:val="32"/>
          <w:szCs w:val="32"/>
        </w:rPr>
        <w:t>未通过的终止建设。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第十二条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 xml:space="preserve"> 鼓励以企业为核心，联合高校、科研院所等单位申报，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由</w:t>
      </w:r>
      <w:r>
        <w:rPr>
          <w:rFonts w:hint="eastAsia" w:ascii="仿宋_GB2312" w:eastAsia="仿宋_GB2312"/>
          <w:bCs/>
          <w:sz w:val="32"/>
          <w:szCs w:val="32"/>
        </w:rPr>
        <w:t>依托单位作为技术创新中心的第一责任主体，并形成共同组建协议，明确各个单位的权利和责任。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鼓励地方政府、各级文化和旅游行政部门对技术创新中心建设给予政策、资金等相关支持。</w:t>
      </w:r>
      <w:r>
        <w:rPr>
          <w:rFonts w:hint="eastAsia" w:ascii="仿宋_GB2312" w:eastAsia="仿宋_GB2312"/>
          <w:bCs/>
          <w:sz w:val="32"/>
          <w:szCs w:val="32"/>
        </w:rPr>
        <w:t>原则上不支持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>单一</w:t>
      </w:r>
      <w:r>
        <w:rPr>
          <w:rFonts w:hint="eastAsia" w:ascii="仿宋_GB2312" w:eastAsia="仿宋_GB2312"/>
          <w:bCs/>
          <w:sz w:val="32"/>
          <w:szCs w:val="32"/>
        </w:rPr>
        <w:t>类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>型</w:t>
      </w:r>
      <w:r>
        <w:rPr>
          <w:rFonts w:hint="eastAsia" w:ascii="仿宋_GB2312" w:eastAsia="仿宋_GB2312"/>
          <w:bCs/>
          <w:sz w:val="32"/>
          <w:szCs w:val="32"/>
        </w:rPr>
        <w:t>单位联合申报。</w:t>
      </w: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ascii="黑体" w:hAnsi="黑体" w:eastAsia="黑体" w:cs="Times New Roman"/>
          <w:bCs/>
          <w:sz w:val="32"/>
          <w:szCs w:val="32"/>
        </w:rPr>
        <w:t>第四章  管理与运行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第十三条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技术创新中心实行依托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</w:rPr>
        <w:t>单位领导下的主任负责制。技术创新中心主任应为本领域高水平的学术带头人，具有较强的组织管理和成果转化能力，原则上应为技术</w:t>
      </w:r>
      <w:r>
        <w:rPr>
          <w:rFonts w:hint="eastAsia" w:ascii="仿宋_GB2312" w:eastAsia="仿宋_GB2312"/>
          <w:color w:val="auto"/>
          <w:sz w:val="32"/>
          <w:szCs w:val="32"/>
        </w:rPr>
        <w:t>创新中心的全职工作人员。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第十四条</w:t>
      </w:r>
      <w:r>
        <w:rPr>
          <w:rFonts w:ascii="仿宋_GB2312" w:hAnsi="仿宋" w:eastAsia="仿宋_GB2312" w:cs="Times New Roman"/>
          <w:bCs/>
          <w:color w:val="auto"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</w:rPr>
        <w:t>技术创新中心实行专家委员会咨询制，负责审</w:t>
      </w:r>
      <w:r>
        <w:rPr>
          <w:rFonts w:hint="eastAsia" w:ascii="仿宋_GB2312" w:eastAsia="仿宋_GB2312"/>
          <w:color w:val="auto"/>
          <w:sz w:val="32"/>
          <w:szCs w:val="32"/>
        </w:rPr>
        <w:t>议创新中心的发展目标、重点技术创新任务等，并对相关重大事项提出意见建议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</w:rPr>
        <w:t>。专家委员会</w:t>
      </w:r>
      <w:r>
        <w:rPr>
          <w:rFonts w:ascii="仿宋_GB2312" w:hAnsi="仿宋" w:eastAsia="仿宋_GB2312" w:cs="Times New Roman"/>
          <w:bCs/>
          <w:color w:val="auto"/>
          <w:sz w:val="32"/>
          <w:szCs w:val="32"/>
        </w:rPr>
        <w:t>由相关领域</w:t>
      </w:r>
      <w:r>
        <w:rPr>
          <w:rFonts w:ascii="仿宋_GB2312" w:hAnsi="仿宋" w:eastAsia="仿宋_GB2312" w:cs="Times New Roman"/>
          <w:bCs/>
          <w:color w:val="auto"/>
          <w:sz w:val="32"/>
          <w:szCs w:val="32"/>
          <w:highlight w:val="none"/>
        </w:rPr>
        <w:t>知名专家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</w:rPr>
        <w:t>、产业化</w:t>
      </w:r>
      <w:r>
        <w:rPr>
          <w:rFonts w:ascii="仿宋_GB2312" w:hAnsi="仿宋" w:eastAsia="仿宋_GB2312" w:cs="Times New Roman"/>
          <w:bCs/>
          <w:color w:val="auto"/>
          <w:sz w:val="32"/>
          <w:szCs w:val="32"/>
        </w:rPr>
        <w:t>方面的企业经营管理专家组</w:t>
      </w:r>
      <w:r>
        <w:rPr>
          <w:rFonts w:ascii="仿宋_GB2312" w:hAnsi="仿宋" w:eastAsia="仿宋_GB2312" w:cs="Times New Roman"/>
          <w:bCs/>
          <w:color w:val="auto"/>
          <w:sz w:val="32"/>
          <w:szCs w:val="32"/>
          <w:highlight w:val="none"/>
        </w:rPr>
        <w:t>成</w:t>
      </w:r>
      <w:r>
        <w:rPr>
          <w:rFonts w:ascii="仿宋_GB2312" w:hAnsi="仿宋" w:eastAsia="仿宋_GB2312" w:cs="Times New Roman"/>
          <w:bCs/>
          <w:color w:val="auto"/>
          <w:sz w:val="32"/>
          <w:szCs w:val="32"/>
        </w:rPr>
        <w:t>，人数一般为7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</w:rPr>
        <w:t>至</w:t>
      </w:r>
      <w:r>
        <w:rPr>
          <w:rFonts w:ascii="仿宋_GB2312" w:hAnsi="仿宋" w:eastAsia="仿宋_GB2312" w:cs="Times New Roman"/>
          <w:bCs/>
          <w:color w:val="auto"/>
          <w:sz w:val="32"/>
          <w:szCs w:val="32"/>
        </w:rPr>
        <w:t>15人，其中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</w:rPr>
        <w:t>依托单位人员</w:t>
      </w:r>
      <w:r>
        <w:rPr>
          <w:rFonts w:ascii="仿宋_GB2312" w:hAnsi="仿宋" w:eastAsia="仿宋_GB2312" w:cs="Times New Roman"/>
          <w:bCs/>
          <w:color w:val="auto"/>
          <w:sz w:val="32"/>
          <w:szCs w:val="32"/>
        </w:rPr>
        <w:t>不超过三分之一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第十五条</w:t>
      </w:r>
      <w:r>
        <w:rPr>
          <w:rFonts w:ascii="仿宋_GB2312" w:hAnsi="仿宋" w:eastAsia="仿宋_GB2312" w:cs="Times New Roman"/>
          <w:bCs/>
          <w:color w:val="auto"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技术创新中心人、财、物应相对独立，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</w:rPr>
        <w:t>鼓励设立为独立法人实体，探索董事会、理事会等管理组织模式。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第十六条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技术创新中心实行固定与流动相结合的人员聘用制度，应通过市场化机制加强人才的选拔与聘任。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第十七条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技术创新中心应全面落实科技成果转化奖励、股权分红激励等政策措施，建立市场化的绩效评价与收入分配激励机制。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第十八条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技术创新中心应充分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发挥相关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高校、科研院所的优势学科和科研资源，协同开展关键共性技术攻关、成果转移转化和技术创新服务。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第十九条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应加强与产业界的联系与合作，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合作</w:t>
      </w:r>
      <w:r>
        <w:rPr>
          <w:rFonts w:hint="eastAsia" w:ascii="仿宋_GB2312" w:eastAsia="仿宋_GB2312"/>
          <w:bCs/>
          <w:sz w:val="32"/>
          <w:szCs w:val="32"/>
        </w:rPr>
        <w:t>企业</w:t>
      </w:r>
      <w:r>
        <w:rPr>
          <w:rFonts w:ascii="仿宋_GB2312" w:hAnsi="仿宋" w:eastAsia="仿宋_GB2312" w:cs="Times New Roman"/>
          <w:bCs/>
          <w:sz w:val="32"/>
          <w:szCs w:val="32"/>
        </w:rPr>
        <w:t>可从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成果</w:t>
      </w:r>
      <w:r>
        <w:rPr>
          <w:rFonts w:ascii="仿宋_GB2312" w:hAnsi="仿宋" w:eastAsia="仿宋_GB2312" w:cs="Times New Roman"/>
          <w:bCs/>
          <w:sz w:val="32"/>
          <w:szCs w:val="32"/>
        </w:rPr>
        <w:t>转化过程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起</w:t>
      </w:r>
      <w:r>
        <w:rPr>
          <w:rFonts w:ascii="仿宋_GB2312" w:hAnsi="仿宋" w:eastAsia="仿宋_GB2312" w:cs="Times New Roman"/>
          <w:bCs/>
          <w:sz w:val="32"/>
          <w:szCs w:val="32"/>
        </w:rPr>
        <w:t>始阶段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提前参与</w:t>
      </w:r>
      <w:r>
        <w:rPr>
          <w:rFonts w:ascii="仿宋_GB2312" w:hAnsi="仿宋" w:eastAsia="仿宋_GB2312" w:cs="Times New Roman"/>
          <w:bCs/>
          <w:sz w:val="32"/>
          <w:szCs w:val="32"/>
        </w:rPr>
        <w:t>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第二十条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应加强知识产权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保护和运用</w:t>
      </w:r>
      <w:r>
        <w:rPr>
          <w:rFonts w:ascii="仿宋_GB2312" w:hAnsi="仿宋" w:eastAsia="仿宋_GB2312" w:cs="Times New Roman"/>
          <w:bCs/>
          <w:sz w:val="32"/>
          <w:szCs w:val="32"/>
        </w:rPr>
        <w:t>，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职务发明</w:t>
      </w:r>
      <w:r>
        <w:rPr>
          <w:rFonts w:ascii="仿宋_GB2312" w:hAnsi="仿宋" w:eastAsia="仿宋_GB2312" w:cs="Times New Roman"/>
          <w:bCs/>
          <w:sz w:val="32"/>
          <w:szCs w:val="32"/>
        </w:rPr>
        <w:t>成果均应标注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名称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，有关专利申请、成果转让、奖励申报及保密事项等按国家有关规定执行</w:t>
      </w:r>
      <w:r>
        <w:rPr>
          <w:rFonts w:ascii="仿宋_GB2312" w:hAnsi="仿宋" w:eastAsia="仿宋_GB2312" w:cs="Times New Roman"/>
          <w:bCs/>
          <w:sz w:val="32"/>
          <w:szCs w:val="32"/>
        </w:rPr>
        <w:t>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第二十一条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技术创新中心运行期间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变更名称</w:t>
      </w:r>
      <w:r>
        <w:rPr>
          <w:rFonts w:hint="eastAsia" w:ascii="仿宋_GB2312" w:eastAsia="仿宋_GB2312"/>
          <w:sz w:val="32"/>
          <w:szCs w:val="32"/>
        </w:rPr>
        <w:t>、注册地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、调整创新方向和定位、发生组织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或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人员重大调整、以技术创新中心名义举办特别重大活动的，应当由依托单位提出，经省级文化和旅游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部门审核后，报文化和旅游部审定。变更名称或者调整研究方向的，应当先经专家委员会论证。</w:t>
      </w: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ascii="黑体" w:hAnsi="黑体" w:eastAsia="黑体" w:cs="Times New Roman"/>
          <w:bCs/>
          <w:sz w:val="32"/>
          <w:szCs w:val="32"/>
        </w:rPr>
        <w:t>第五章  考核与评估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第二十二条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技术创新中心应于</w:t>
      </w:r>
      <w:r>
        <w:rPr>
          <w:rFonts w:ascii="仿宋_GB2312" w:hAnsi="仿宋" w:eastAsia="仿宋_GB2312" w:cs="Times New Roman"/>
          <w:bCs/>
          <w:sz w:val="32"/>
          <w:szCs w:val="32"/>
        </w:rPr>
        <w:t>每年3月底前提交年度工作报告，由依托单位组织考核，工作报告及考核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结果</w:t>
      </w:r>
      <w:r>
        <w:rPr>
          <w:rFonts w:ascii="仿宋_GB2312" w:hAnsi="仿宋" w:eastAsia="仿宋_GB2312" w:cs="Times New Roman"/>
          <w:bCs/>
          <w:sz w:val="32"/>
          <w:szCs w:val="32"/>
        </w:rPr>
        <w:t>报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省级文化和旅游行政部门、</w:t>
      </w:r>
      <w:r>
        <w:rPr>
          <w:rFonts w:ascii="仿宋_GB2312" w:hAnsi="仿宋" w:eastAsia="仿宋_GB2312" w:cs="Times New Roman"/>
          <w:bCs/>
          <w:sz w:val="32"/>
          <w:szCs w:val="32"/>
        </w:rPr>
        <w:t>文化和旅游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部</w:t>
      </w:r>
      <w:r>
        <w:rPr>
          <w:rFonts w:ascii="仿宋_GB2312" w:hAnsi="仿宋" w:eastAsia="仿宋_GB2312" w:cs="Times New Roman"/>
          <w:bCs/>
          <w:sz w:val="32"/>
          <w:szCs w:val="32"/>
        </w:rPr>
        <w:t>。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年度报告主要内容包括技术创新中心本年度工作成果、存在的问题以及下一步工作考虑，并提供必要的数据和相关材料。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第二十三条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文化和旅游部对技术创新中心定期开展评估，一般以3年为一个周期,评估结果分为优秀、合格、不合格。对于评估结果为优秀的技术创新中心给予通报表扬，对于评估结果为不合格的技术创新中心经申请可给予1年整改期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第二十四条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文化和旅游部根据工作需要对技术创新中心组织开展不定期检查。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第二十五条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ascii="仿宋_GB2312" w:hAnsi="仿宋" w:eastAsia="仿宋_GB2312" w:cs="Times New Roman"/>
          <w:bCs/>
          <w:sz w:val="32"/>
          <w:szCs w:val="32"/>
        </w:rPr>
        <w:t>出现下列情形之一的，撤销其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资格：</w:t>
      </w:r>
    </w:p>
    <w:p>
      <w:pPr>
        <w:pStyle w:val="5"/>
        <w:numPr>
          <w:ilvl w:val="0"/>
          <w:numId w:val="6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</w:rPr>
        <w:t>不接受文化和旅游部的管理；</w:t>
      </w:r>
    </w:p>
    <w:p>
      <w:pPr>
        <w:pStyle w:val="5"/>
        <w:numPr>
          <w:ilvl w:val="0"/>
          <w:numId w:val="6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不参加评估，或评估不合格且整改后复评仍不合格</w:t>
      </w:r>
      <w:r>
        <w:rPr>
          <w:rFonts w:hint="default" w:ascii="仿宋_GB2312" w:hAnsi="Arial" w:eastAsia="仿宋_GB2312" w:cs="Arial"/>
          <w:kern w:val="0"/>
          <w:sz w:val="32"/>
          <w:szCs w:val="32"/>
          <w:lang w:val="en"/>
        </w:rPr>
        <w:t>;</w:t>
      </w:r>
      <w:bookmarkStart w:id="6" w:name="_GoBack"/>
      <w:bookmarkEnd w:id="6"/>
    </w:p>
    <w:p>
      <w:pPr>
        <w:pStyle w:val="5"/>
        <w:numPr>
          <w:ilvl w:val="0"/>
          <w:numId w:val="6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ascii="仿宋_GB2312" w:hAnsi="仿宋" w:eastAsia="仿宋_GB2312" w:cs="Times New Roman"/>
          <w:bCs/>
          <w:sz w:val="32"/>
          <w:szCs w:val="32"/>
        </w:rPr>
        <w:t>依托单位要求撤销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；</w:t>
      </w:r>
    </w:p>
    <w:p>
      <w:pPr>
        <w:pStyle w:val="5"/>
        <w:numPr>
          <w:ilvl w:val="0"/>
          <w:numId w:val="6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ascii="仿宋_GB2312" w:hAnsi="仿宋" w:eastAsia="仿宋_GB2312" w:cs="Times New Roman"/>
          <w:bCs/>
          <w:sz w:val="32"/>
          <w:szCs w:val="32"/>
        </w:rPr>
        <w:t>依托单位被依法终止；</w:t>
      </w:r>
    </w:p>
    <w:p>
      <w:pPr>
        <w:pStyle w:val="5"/>
        <w:numPr>
          <w:ilvl w:val="0"/>
          <w:numId w:val="6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因违法违规行为造成重大不良影响；</w:t>
      </w:r>
    </w:p>
    <w:p>
      <w:pPr>
        <w:pStyle w:val="5"/>
        <w:numPr>
          <w:ilvl w:val="0"/>
          <w:numId w:val="6"/>
        </w:numPr>
        <w:adjustRightInd w:val="0"/>
        <w:snapToGrid/>
        <w:spacing w:line="560" w:lineRule="exact"/>
        <w:ind w:left="0" w:firstLine="640" w:firstLineChars="200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ascii="仿宋_GB2312" w:hAnsi="仿宋" w:eastAsia="仿宋_GB2312" w:cs="Times New Roman"/>
          <w:bCs/>
          <w:sz w:val="32"/>
          <w:szCs w:val="32"/>
        </w:rPr>
        <w:t>其他文化和旅游部认为应该撤销的情形。</w:t>
      </w: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ascii="黑体" w:hAnsi="黑体" w:eastAsia="黑体" w:cs="Times New Roman"/>
          <w:bCs/>
          <w:sz w:val="32"/>
          <w:szCs w:val="32"/>
        </w:rPr>
        <w:t>第六章  附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 xml:space="preserve">  </w:t>
      </w:r>
      <w:r>
        <w:rPr>
          <w:rFonts w:ascii="黑体" w:hAnsi="黑体" w:eastAsia="黑体" w:cs="Times New Roman"/>
          <w:bCs/>
          <w:sz w:val="32"/>
          <w:szCs w:val="32"/>
        </w:rPr>
        <w:t>则</w:t>
      </w:r>
    </w:p>
    <w:p>
      <w:pPr>
        <w:pStyle w:val="5"/>
        <w:numPr>
          <w:ilvl w:val="0"/>
          <w:numId w:val="0"/>
        </w:numPr>
        <w:adjustRightInd w:val="0"/>
        <w:snapToGrid/>
        <w:spacing w:line="560" w:lineRule="exact"/>
        <w:ind w:left="0" w:leftChars="0" w:firstLine="642"/>
        <w:rPr>
          <w:rFonts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第二十六条</w:t>
      </w:r>
      <w:r>
        <w:rPr>
          <w:rFonts w:ascii="仿宋_GB2312" w:hAnsi="仿宋" w:eastAsia="仿宋_GB2312" w:cs="Times New Roman"/>
          <w:bCs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ascii="仿宋_GB2312" w:hAnsi="仿宋" w:eastAsia="仿宋_GB2312" w:cs="Times New Roman"/>
          <w:bCs/>
          <w:sz w:val="32"/>
          <w:szCs w:val="32"/>
        </w:rPr>
        <w:t>文化和旅游部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</w:t>
      </w:r>
      <w:r>
        <w:rPr>
          <w:rFonts w:hint="eastAsia" w:ascii="仿宋_GB2312" w:eastAsia="仿宋_GB2312"/>
          <w:bCs/>
          <w:sz w:val="32"/>
          <w:szCs w:val="32"/>
        </w:rPr>
        <w:t>创新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中心</w:t>
      </w:r>
      <w:r>
        <w:rPr>
          <w:rFonts w:ascii="仿宋_GB2312" w:hAnsi="仿宋" w:eastAsia="仿宋_GB2312" w:cs="Times New Roman"/>
          <w:bCs/>
          <w:sz w:val="32"/>
          <w:szCs w:val="32"/>
        </w:rPr>
        <w:t>统一命名为“</w:t>
      </w:r>
      <w:r>
        <w:rPr>
          <w:rFonts w:hint="eastAsia" w:ascii="汉仪细圆B5" w:hAnsi="汉仪细圆B5" w:eastAsia="汉仪细圆B5" w:cs="汉仪细圆B5"/>
          <w:bCs/>
          <w:sz w:val="32"/>
          <w:szCs w:val="32"/>
        </w:rPr>
        <w:t>×××</w:t>
      </w:r>
      <w:r>
        <w:rPr>
          <w:rFonts w:ascii="仿宋_GB2312" w:hAnsi="仿宋" w:eastAsia="仿宋_GB2312" w:cs="Times New Roman"/>
          <w:bCs/>
          <w:sz w:val="32"/>
          <w:szCs w:val="32"/>
        </w:rPr>
        <w:t>文化和旅游部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技术创新中心</w:t>
      </w:r>
      <w:r>
        <w:rPr>
          <w:rFonts w:ascii="仿宋_GB2312" w:hAnsi="仿宋" w:eastAsia="仿宋_GB2312" w:cs="Times New Roman"/>
          <w:bCs/>
          <w:sz w:val="32"/>
          <w:szCs w:val="32"/>
        </w:rPr>
        <w:t>”，英文名称为“</w:t>
      </w:r>
      <w:bookmarkStart w:id="5" w:name="_Hlk51183585"/>
      <w:r>
        <w:rPr>
          <w:rFonts w:ascii="仿宋_GB2312" w:hAnsi="Times New Roman" w:eastAsia="仿宋_GB2312" w:cs="Times New Roman"/>
          <w:bCs/>
          <w:sz w:val="32"/>
          <w:szCs w:val="32"/>
        </w:rPr>
        <w:t xml:space="preserve">Technology Innovation Center of </w:t>
      </w:r>
      <w:r>
        <w:rPr>
          <w:rFonts w:hint="eastAsia" w:ascii="汉仪细圆B5" w:hAnsi="汉仪细圆B5" w:eastAsia="汉仪细圆B5" w:cs="汉仪细圆B5"/>
          <w:bCs/>
          <w:sz w:val="32"/>
          <w:szCs w:val="32"/>
        </w:rPr>
        <w:t>×××</w:t>
      </w:r>
      <w:r>
        <w:rPr>
          <w:rFonts w:hint="default" w:ascii="仿宋_GB2312" w:hAnsi="Arial" w:eastAsia="仿宋_GB2312" w:cs="Arial"/>
          <w:kern w:val="0"/>
          <w:sz w:val="32"/>
          <w:szCs w:val="32"/>
          <w:lang w:val="en"/>
        </w:rPr>
        <w:t>,</w:t>
      </w:r>
      <w:r>
        <w:rPr>
          <w:rFonts w:ascii="仿宋_GB2312" w:hAnsi="Times New Roman" w:eastAsia="仿宋_GB2312" w:cs="Times New Roman"/>
          <w:bCs/>
          <w:sz w:val="32"/>
          <w:szCs w:val="32"/>
        </w:rPr>
        <w:t>Ministry of Culture and Tourism</w:t>
      </w:r>
      <w:bookmarkEnd w:id="5"/>
      <w:r>
        <w:rPr>
          <w:rFonts w:ascii="仿宋_GB2312" w:hAnsi="仿宋" w:eastAsia="仿宋_GB2312" w:cs="Times New Roman"/>
          <w:bCs/>
          <w:sz w:val="32"/>
          <w:szCs w:val="32"/>
        </w:rPr>
        <w:t>”。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其中，</w:t>
      </w:r>
      <w:r>
        <w:rPr>
          <w:rFonts w:hint="eastAsia" w:ascii="汉仪细圆B5" w:hAnsi="汉仪细圆B5" w:eastAsia="汉仪细圆B5" w:cs="汉仪细圆B5"/>
          <w:bCs/>
          <w:sz w:val="32"/>
          <w:szCs w:val="32"/>
        </w:rPr>
        <w:t>×××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为技术创新中心研究领域。</w:t>
      </w:r>
    </w:p>
    <w:p/>
    <w:p/>
    <w:sectPr>
      <w:footerReference r:id="rId3" w:type="default"/>
      <w:pgSz w:w="11906" w:h="16838"/>
      <w:pgMar w:top="1440" w:right="1588" w:bottom="1440" w:left="1588" w:header="851" w:footer="669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细圆B5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fldChar w:fldCharType="begin"/>
    </w:r>
    <w:r>
      <w:rPr>
        <w:rFonts w:hint="eastAsia" w:ascii="仿宋_GB2312" w:eastAsia="仿宋_GB2312"/>
        <w:sz w:val="24"/>
        <w:szCs w:val="24"/>
      </w:rPr>
      <w:instrText xml:space="preserve">PAGE   \* MERGEFORMAT</w:instrText>
    </w:r>
    <w:r>
      <w:rPr>
        <w:rFonts w:hint="eastAsia" w:ascii="仿宋_GB2312" w:eastAsia="仿宋_GB2312"/>
        <w:sz w:val="24"/>
        <w:szCs w:val="24"/>
      </w:rPr>
      <w:fldChar w:fldCharType="separate"/>
    </w:r>
    <w:r>
      <w:rPr>
        <w:rFonts w:ascii="仿宋_GB2312" w:eastAsia="仿宋_GB2312"/>
        <w:sz w:val="24"/>
        <w:szCs w:val="24"/>
        <w:lang w:val="zh-CN"/>
      </w:rPr>
      <w:t>1</w:t>
    </w:r>
    <w:r>
      <w:rPr>
        <w:rFonts w:hint="eastAsia" w:ascii="仿宋_GB2312" w:eastAsia="仿宋_GB2312"/>
        <w:sz w:val="24"/>
        <w:szCs w:val="24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DE8051"/>
    <w:multiLevelType w:val="multilevel"/>
    <w:tmpl w:val="DDDE8051"/>
    <w:lvl w:ilvl="0" w:tentative="0">
      <w:start w:val="1"/>
      <w:numFmt w:val="chineseCountingThousand"/>
      <w:lvlText w:val="（%1）"/>
      <w:lvlJc w:val="left"/>
      <w:pPr>
        <w:ind w:left="1271" w:hanging="420"/>
      </w:pPr>
      <w:rPr>
        <w:rFonts w:hint="eastAsia" w:eastAsia="仿宋_GB2312"/>
        <w:b w:val="0"/>
        <w:i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0B26A62"/>
    <w:multiLevelType w:val="multilevel"/>
    <w:tmpl w:val="30B26A62"/>
    <w:lvl w:ilvl="0" w:tentative="0">
      <w:start w:val="1"/>
      <w:numFmt w:val="chineseCountingThousand"/>
      <w:lvlText w:val="（%1）"/>
      <w:lvlJc w:val="left"/>
      <w:pPr>
        <w:ind w:left="1271" w:hanging="420"/>
      </w:pPr>
      <w:rPr>
        <w:rFonts w:hint="eastAsia" w:eastAsia="仿宋_GB2312"/>
        <w:b w:val="0"/>
        <w:i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8824D99"/>
    <w:multiLevelType w:val="multilevel"/>
    <w:tmpl w:val="58824D99"/>
    <w:lvl w:ilvl="0" w:tentative="0">
      <w:start w:val="1"/>
      <w:numFmt w:val="chineseCountingThousand"/>
      <w:lvlText w:val="第%1条  "/>
      <w:lvlJc w:val="left"/>
      <w:pPr>
        <w:ind w:left="1020" w:hanging="420"/>
      </w:pPr>
      <w:rPr>
        <w:rFonts w:hint="eastAsia" w:eastAsia="仿宋_GB2312"/>
        <w:b w:val="0"/>
        <w:i w:val="0"/>
        <w:sz w:val="32"/>
      </w:rPr>
    </w:lvl>
    <w:lvl w:ilvl="1" w:tentative="0">
      <w:start w:val="7"/>
      <w:numFmt w:val="chineseCountingThousand"/>
      <w:lvlText w:val="第%2条"/>
      <w:lvlJc w:val="left"/>
      <w:pPr>
        <w:ind w:left="1271" w:hanging="420"/>
      </w:pPr>
      <w:rPr>
        <w:rFonts w:hint="eastAsia" w:eastAsia="仿宋_GB2312"/>
        <w:b/>
        <w:i w:val="0"/>
        <w:sz w:val="32"/>
        <w:lang w:val="en-US"/>
      </w:rPr>
    </w:lvl>
    <w:lvl w:ilvl="2" w:tentative="0">
      <w:start w:val="1"/>
      <w:numFmt w:val="chineseCountingThousand"/>
      <w:lvlText w:val="（%3）"/>
      <w:lvlJc w:val="left"/>
      <w:pPr>
        <w:ind w:left="1789" w:hanging="1080"/>
      </w:pPr>
      <w:rPr>
        <w:rFonts w:hint="eastAsia" w:eastAsia="仿宋_GB2312"/>
        <w:b w:val="0"/>
        <w:i w:val="0"/>
        <w:sz w:val="32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7FE9D2A"/>
    <w:multiLevelType w:val="multilevel"/>
    <w:tmpl w:val="67FE9D2A"/>
    <w:lvl w:ilvl="0" w:tentative="0">
      <w:start w:val="1"/>
      <w:numFmt w:val="chineseCountingThousand"/>
      <w:lvlText w:val="（%1）"/>
      <w:lvlJc w:val="left"/>
      <w:pPr>
        <w:ind w:left="1271" w:hanging="420"/>
      </w:pPr>
      <w:rPr>
        <w:rFonts w:hint="eastAsia" w:eastAsia="仿宋_GB2312"/>
        <w:b w:val="0"/>
        <w:i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06530F6"/>
    <w:multiLevelType w:val="multilevel"/>
    <w:tmpl w:val="706530F6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788A17DF"/>
    <w:multiLevelType w:val="multilevel"/>
    <w:tmpl w:val="788A17DF"/>
    <w:lvl w:ilvl="0" w:tentative="0">
      <w:start w:val="1"/>
      <w:numFmt w:val="chineseCountingThousand"/>
      <w:lvlText w:val="（%1）"/>
      <w:lvlJc w:val="left"/>
      <w:pPr>
        <w:ind w:left="1494" w:hanging="360"/>
      </w:pPr>
      <w:rPr>
        <w:rFonts w:hint="eastAsia" w:eastAsia="仿宋_GB2312"/>
        <w:b w:val="0"/>
        <w:i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EADCE"/>
    <w:rsid w:val="3EAB0813"/>
    <w:rsid w:val="BBB80F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whhlyb</cp:lastModifiedBy>
  <dcterms:modified xsi:type="dcterms:W3CDTF">2024-07-22T16:47:28Z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