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附件2</w:t>
      </w:r>
    </w:p>
    <w:p>
      <w:pPr>
        <w:pStyle w:val="3"/>
        <w:widowControl/>
        <w:spacing w:before="0" w:beforeAutospacing="0" w:after="0" w:afterAutospacing="0" w:line="560" w:lineRule="exact"/>
        <w:ind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Style w:val="6"/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第一批省级文化和旅游消费试点县（市、区）名单</w:t>
      </w:r>
    </w:p>
    <w:bookmarkEnd w:id="0"/>
    <w:p>
      <w:pPr>
        <w:pStyle w:val="3"/>
        <w:widowControl/>
        <w:spacing w:before="0" w:beforeAutospacing="0" w:after="0" w:afterAutospacing="0" w:line="560" w:lineRule="exact"/>
        <w:ind w:firstLine="1920" w:firstLineChars="600"/>
        <w:rPr>
          <w:rStyle w:val="6"/>
          <w:rFonts w:hint="eastAsia" w:ascii="楷体" w:hAnsi="楷体" w:eastAsia="楷体" w:cs="楷体"/>
          <w:sz w:val="32"/>
          <w:szCs w:val="32"/>
        </w:rPr>
      </w:pPr>
      <w:r>
        <w:rPr>
          <w:rStyle w:val="6"/>
          <w:rFonts w:hint="eastAsia" w:ascii="楷体" w:hAnsi="楷体" w:eastAsia="楷体" w:cs="楷体"/>
          <w:sz w:val="32"/>
          <w:szCs w:val="32"/>
        </w:rPr>
        <w:t>（共12个，按行政区划序列排序）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济南市：章丘区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青岛市：市南区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淄博市：临淄区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烟台市：蓬莱区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潍坊市：奎文区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日照市：莒县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临沂市：郯城县、河东区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德州市：夏津县、齐河县</w:t>
      </w:r>
    </w:p>
    <w:p>
      <w:pPr>
        <w:pStyle w:val="2"/>
        <w:ind w:firstLine="64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滨州市：滨城区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菏泽市：郓城县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41F51"/>
    <w:rsid w:val="4A9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line="360" w:lineRule="auto"/>
      <w:ind w:firstLine="200" w:firstLineChars="200"/>
      <w:jc w:val="left"/>
    </w:pPr>
    <w:rPr>
      <w:rFonts w:ascii="Arial" w:hAnsi="Arial"/>
      <w:b/>
      <w:bCs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2021-12-17T05:22:00Z</dcterms:created>
  <dc:creator>等一个晴天</dc:creator>
  <cp:lastModifiedBy>等一个晴天</cp:lastModifiedBy>
  <dcterms:modified xsi:type="dcterms:W3CDTF">2021-12-17T05:23:29Z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01A7C0351E3A46FF9180AEB71B62CB87</vt:lpwstr>
  </property>
</Properties>
</file>